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22" w:rsidRDefault="00CC7022" w:rsidP="00CC702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59"/>
        </w:rPr>
      </w:pPr>
      <w:r w:rsidRPr="00C60727">
        <w:rPr>
          <w:rFonts w:ascii="Times New Roman" w:eastAsia="Times New Roman" w:hAnsi="Times New Roman" w:cs="Times New Roman"/>
          <w:kern w:val="36"/>
          <w:sz w:val="36"/>
          <w:szCs w:val="59"/>
        </w:rPr>
        <w:t>GT Pathways</w:t>
      </w:r>
      <w:r>
        <w:rPr>
          <w:rFonts w:ascii="Times New Roman" w:eastAsia="Times New Roman" w:hAnsi="Times New Roman" w:cs="Times New Roman"/>
          <w:kern w:val="36"/>
          <w:sz w:val="36"/>
          <w:szCs w:val="59"/>
        </w:rPr>
        <w:t xml:space="preserve"> Written Communication – </w:t>
      </w:r>
    </w:p>
    <w:p w:rsidR="00CC7022" w:rsidRPr="00C60727" w:rsidRDefault="00CC7022" w:rsidP="00CC702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59"/>
        </w:rPr>
      </w:pPr>
      <w:r>
        <w:rPr>
          <w:rFonts w:ascii="Times New Roman" w:eastAsia="Times New Roman" w:hAnsi="Times New Roman" w:cs="Times New Roman"/>
          <w:kern w:val="36"/>
          <w:sz w:val="36"/>
          <w:szCs w:val="59"/>
        </w:rPr>
        <w:t>Intermediate Writing Course (GT-CO2</w:t>
      </w:r>
      <w:r w:rsidRPr="009D2604">
        <w:rPr>
          <w:rFonts w:ascii="Times New Roman" w:eastAsia="Times New Roman" w:hAnsi="Times New Roman" w:cs="Times New Roman"/>
          <w:kern w:val="36"/>
          <w:sz w:val="36"/>
          <w:szCs w:val="59"/>
        </w:rPr>
        <w:t>)</w:t>
      </w:r>
    </w:p>
    <w:p w:rsidR="00015A56" w:rsidRDefault="00015A56" w:rsidP="001774BA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</w:p>
    <w:p w:rsidR="004E0E1C" w:rsidRDefault="00D574DE" w:rsidP="001774BA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CF4C8C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The following statement must be copied and pasted </w:t>
      </w:r>
      <w:r w:rsidRPr="00CF4C8C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Pr="00CF4C8C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</w:t>
      </w:r>
      <w:r w:rsidR="004E0E1C">
        <w:rPr>
          <w:rFonts w:ascii="Times New Roman" w:hAnsi="Times New Roman" w:cs="Times New Roman"/>
          <w:b/>
          <w:color w:val="538135" w:themeColor="accent6" w:themeShade="BF"/>
          <w:sz w:val="24"/>
        </w:rPr>
        <w:t>each instructor’s syllabus</w:t>
      </w:r>
      <w:r w:rsidR="00C95BC9" w:rsidRPr="00CF4C8C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</w:p>
    <w:p w:rsidR="00D574DE" w:rsidRPr="00CF4C8C" w:rsidRDefault="00C95BC9" w:rsidP="001774BA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</w:rPr>
      </w:pPr>
      <w:r w:rsidRPr="00CF4C8C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(</w:t>
      </w:r>
      <w:proofErr w:type="gramStart"/>
      <w:r w:rsidRPr="00F17791">
        <w:rPr>
          <w:rFonts w:ascii="Times New Roman" w:hAnsi="Times New Roman" w:cs="Times New Roman"/>
          <w:b/>
          <w:i/>
          <w:color w:val="FF0000"/>
          <w:sz w:val="24"/>
        </w:rPr>
        <w:t>replace</w:t>
      </w:r>
      <w:proofErr w:type="gramEnd"/>
      <w:r w:rsidRPr="00F17791">
        <w:rPr>
          <w:rFonts w:ascii="Times New Roman" w:hAnsi="Times New Roman" w:cs="Times New Roman"/>
          <w:b/>
          <w:i/>
          <w:color w:val="FF0000"/>
          <w:sz w:val="24"/>
        </w:rPr>
        <w:t xml:space="preserve"> the text</w:t>
      </w:r>
      <w:r w:rsidR="001A3543" w:rsidRPr="00F17791">
        <w:rPr>
          <w:rFonts w:ascii="Times New Roman" w:hAnsi="Times New Roman" w:cs="Times New Roman"/>
          <w:b/>
          <w:i/>
          <w:color w:val="FF0000"/>
          <w:sz w:val="24"/>
        </w:rPr>
        <w:t xml:space="preserve"> in red</w:t>
      </w:r>
      <w:r w:rsidRPr="00F17791">
        <w:rPr>
          <w:rFonts w:ascii="Times New Roman" w:hAnsi="Times New Roman" w:cs="Times New Roman"/>
          <w:b/>
          <w:i/>
          <w:color w:val="FF0000"/>
          <w:sz w:val="24"/>
        </w:rPr>
        <w:t xml:space="preserve"> </w:t>
      </w:r>
      <w:r w:rsidRPr="00CF4C8C">
        <w:rPr>
          <w:rFonts w:ascii="Times New Roman" w:hAnsi="Times New Roman" w:cs="Times New Roman"/>
          <w:b/>
          <w:i/>
          <w:color w:val="538135" w:themeColor="accent6" w:themeShade="BF"/>
          <w:sz w:val="24"/>
        </w:rPr>
        <w:t>with your course subject code &amp; number)</w:t>
      </w:r>
      <w:r w:rsidRPr="00CF4C8C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A653A1" w:rsidRPr="00EB0711" w:rsidRDefault="00F81BBF" w:rsidP="00B35BA2">
      <w:pPr>
        <w:spacing w:before="240"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 xml:space="preserve">The Colorado Commission on Higher Education has approved </w:t>
      </w:r>
      <w:r w:rsidR="00C95BC9" w:rsidRPr="00EB0711">
        <w:rPr>
          <w:rFonts w:ascii="Times New Roman" w:hAnsi="Times New Roman" w:cs="Times New Roman"/>
          <w:b/>
          <w:color w:val="FF0000"/>
        </w:rPr>
        <w:t>XXXX ####</w:t>
      </w:r>
      <w:r w:rsidRPr="00EB0711">
        <w:rPr>
          <w:rFonts w:ascii="Times New Roman" w:hAnsi="Times New Roman" w:cs="Times New Roman"/>
        </w:rPr>
        <w:t xml:space="preserve"> for inclusion in the Guaranteed Transfer (GT) Pathways program in the </w:t>
      </w:r>
      <w:r w:rsidR="009134FA" w:rsidRPr="00EB0711">
        <w:rPr>
          <w:rFonts w:ascii="Times New Roman" w:hAnsi="Times New Roman" w:cs="Times New Roman"/>
          <w:b/>
        </w:rPr>
        <w:t>GT-CO</w:t>
      </w:r>
      <w:r w:rsidR="00B60A03" w:rsidRPr="00EB0711">
        <w:rPr>
          <w:rFonts w:ascii="Times New Roman" w:hAnsi="Times New Roman" w:cs="Times New Roman"/>
          <w:b/>
        </w:rPr>
        <w:t>2</w:t>
      </w:r>
      <w:r w:rsidR="00D340D5" w:rsidRPr="00EB0711">
        <w:rPr>
          <w:rFonts w:ascii="Times New Roman" w:hAnsi="Times New Roman" w:cs="Times New Roman"/>
        </w:rPr>
        <w:t xml:space="preserve"> </w:t>
      </w:r>
      <w:r w:rsidRPr="00EB0711">
        <w:rPr>
          <w:rFonts w:ascii="Times New Roman" w:hAnsi="Times New Roman" w:cs="Times New Roman"/>
        </w:rPr>
        <w:t xml:space="preserve">category. For transferring students, successful completion with a minimum C‒ grade guarantees transfer and application of credit in this GT Pathways category. For more information on the GT Pathways program, go to </w:t>
      </w:r>
      <w:hyperlink r:id="rId8" w:history="1">
        <w:r w:rsidRPr="00EB0711">
          <w:rPr>
            <w:rStyle w:val="Hyperlink"/>
            <w:rFonts w:ascii="Times New Roman" w:hAnsi="Times New Roman" w:cs="Times New Roman"/>
            <w:color w:val="auto"/>
          </w:rPr>
          <w:t>http://highered.colorado.gov/academics/transfers/gtpathways/curriculum.html</w:t>
        </w:r>
      </w:hyperlink>
      <w:r w:rsidRPr="00EB0711">
        <w:rPr>
          <w:rFonts w:ascii="Times New Roman" w:hAnsi="Times New Roman" w:cs="Times New Roman"/>
        </w:rPr>
        <w:t xml:space="preserve">.  </w:t>
      </w:r>
    </w:p>
    <w:p w:rsidR="00132906" w:rsidRDefault="00132906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u w:val="single"/>
        </w:rPr>
      </w:pPr>
    </w:p>
    <w:p w:rsidR="00015A56" w:rsidRPr="00EB0711" w:rsidRDefault="00015A56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u w:val="single"/>
        </w:rPr>
      </w:pPr>
    </w:p>
    <w:p w:rsidR="00F17791" w:rsidRPr="00131359" w:rsidRDefault="00F17791" w:rsidP="00F17791">
      <w:pPr>
        <w:spacing w:after="0"/>
        <w:rPr>
          <w:rFonts w:ascii="Times New Roman" w:hAnsi="Times New Roman" w:cs="Times New Roman"/>
          <w:color w:val="538135" w:themeColor="accent6" w:themeShade="BF"/>
          <w:sz w:val="24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required Written Communication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GT Pathways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(GT-CO2)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>content c</w:t>
      </w: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riteria</w:t>
      </w:r>
      <w:r w:rsidR="006964A5" w:rsidRPr="006964A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 w:rsidR="006964A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shall </w:t>
      </w:r>
      <w:proofErr w:type="gramStart"/>
      <w:r w:rsidR="006964A5">
        <w:rPr>
          <w:rFonts w:ascii="Times New Roman" w:hAnsi="Times New Roman" w:cs="Times New Roman"/>
          <w:b/>
          <w:color w:val="538135" w:themeColor="accent6" w:themeShade="BF"/>
          <w:sz w:val="24"/>
        </w:rPr>
        <w:t>be either: 1)</w:t>
      </w:r>
      <w:r w:rsidR="006964A5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="006964A5" w:rsidRPr="00131359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="006964A5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</w:t>
      </w:r>
      <w:r w:rsidR="006964A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each instructor’s syllabus, </w:t>
      </w:r>
      <w:r w:rsidR="006964A5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 w:rsidR="006964A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content criteria in each instructor’s syllabus</w:t>
      </w:r>
      <w:proofErr w:type="gramEnd"/>
      <w:r w:rsidR="006964A5"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D574DE" w:rsidRPr="00EE7942" w:rsidRDefault="00D574DE" w:rsidP="001774BA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18"/>
          <w:u w:val="single"/>
        </w:rPr>
      </w:pPr>
    </w:p>
    <w:p w:rsidR="0091424E" w:rsidRPr="00EB0711" w:rsidRDefault="0091424E" w:rsidP="0091424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Deepen</w:t>
      </w:r>
      <w:r w:rsidR="004F2521" w:rsidRPr="00EB0711">
        <w:rPr>
          <w:rFonts w:ascii="Times New Roman" w:hAnsi="Times New Roman" w:cs="Times New Roman"/>
        </w:rPr>
        <w:t xml:space="preserve"> Rhetorical Knowledge</w:t>
      </w:r>
    </w:p>
    <w:p w:rsidR="0091424E" w:rsidRPr="00EB0711" w:rsidRDefault="0091424E" w:rsidP="0091424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 xml:space="preserve">Focus on rhetorical situation, audience, and purpose. </w:t>
      </w:r>
    </w:p>
    <w:p w:rsidR="0091424E" w:rsidRPr="00EB0711" w:rsidRDefault="0091424E" w:rsidP="0091424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 xml:space="preserve">Use voice, tone, format, and structure appropriately, deepening understanding of relationships between form and content in writing. </w:t>
      </w:r>
    </w:p>
    <w:p w:rsidR="0091424E" w:rsidRPr="00EB0711" w:rsidRDefault="0091424E" w:rsidP="0091424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Write and read texts written in several genres, for specified discourse communities. These communities may include professional or disciplinary discourse communities.</w:t>
      </w:r>
    </w:p>
    <w:p w:rsidR="0091424E" w:rsidRPr="00EB0711" w:rsidRDefault="0091424E" w:rsidP="0091424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Practice reflective strategies.</w:t>
      </w:r>
    </w:p>
    <w:p w:rsidR="0091424E" w:rsidRPr="00EB0711" w:rsidRDefault="0091424E" w:rsidP="0091424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Deepen</w:t>
      </w:r>
      <w:r w:rsidR="00075168" w:rsidRPr="00EB0711">
        <w:rPr>
          <w:rFonts w:ascii="Times New Roman" w:hAnsi="Times New Roman" w:cs="Times New Roman"/>
        </w:rPr>
        <w:t xml:space="preserve"> Experience in Writing</w:t>
      </w:r>
    </w:p>
    <w:p w:rsidR="0091424E" w:rsidRPr="00EB0711" w:rsidRDefault="0091424E" w:rsidP="0091424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 xml:space="preserve">Develop recursive strategies for generating ideas, revising, editing, and proofreading for extensive, in-depth, and/or collaborative projects. </w:t>
      </w:r>
    </w:p>
    <w:p w:rsidR="0091424E" w:rsidRPr="00EB0711" w:rsidRDefault="0091424E" w:rsidP="0091424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proofErr w:type="gramStart"/>
      <w:r w:rsidRPr="00EB0711">
        <w:rPr>
          <w:rFonts w:ascii="Times New Roman" w:hAnsi="Times New Roman" w:cs="Times New Roman"/>
        </w:rPr>
        <w:t>Critique</w:t>
      </w:r>
      <w:proofErr w:type="gramEnd"/>
      <w:r w:rsidRPr="00EB0711">
        <w:rPr>
          <w:rFonts w:ascii="Times New Roman" w:hAnsi="Times New Roman" w:cs="Times New Roman"/>
        </w:rPr>
        <w:t xml:space="preserve"> one’s own and other’s work.</w:t>
      </w:r>
    </w:p>
    <w:p w:rsidR="0091424E" w:rsidRPr="00EB0711" w:rsidRDefault="0091424E" w:rsidP="0091424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Deepen</w:t>
      </w:r>
      <w:r w:rsidR="00075168" w:rsidRPr="00EB0711">
        <w:rPr>
          <w:rFonts w:ascii="Times New Roman" w:hAnsi="Times New Roman" w:cs="Times New Roman"/>
        </w:rPr>
        <w:t xml:space="preserve"> Critical and Creative Thinking</w:t>
      </w:r>
    </w:p>
    <w:p w:rsidR="0091424E" w:rsidRPr="00EB0711" w:rsidRDefault="0091424E" w:rsidP="0091424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 xml:space="preserve">Evaluate the relevance of context. </w:t>
      </w:r>
    </w:p>
    <w:p w:rsidR="0091424E" w:rsidRPr="00EB0711" w:rsidRDefault="0091424E" w:rsidP="0091424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 xml:space="preserve">Synthesize other points of view within one’s own position. </w:t>
      </w:r>
    </w:p>
    <w:p w:rsidR="0091424E" w:rsidRPr="00EB0711" w:rsidRDefault="0091424E" w:rsidP="0091424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Reflect on the implications and consequences of the stated conclusion.</w:t>
      </w:r>
    </w:p>
    <w:p w:rsidR="0091424E" w:rsidRPr="00EB0711" w:rsidRDefault="00075168" w:rsidP="0091424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 xml:space="preserve">Use Sources and Evidence </w:t>
      </w:r>
    </w:p>
    <w:p w:rsidR="0091424E" w:rsidRPr="00EB0711" w:rsidRDefault="0091424E" w:rsidP="0091424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 xml:space="preserve">Select and evaluate appropriate sources and evidence. </w:t>
      </w:r>
    </w:p>
    <w:p w:rsidR="0091424E" w:rsidRPr="00EB0711" w:rsidRDefault="0091424E" w:rsidP="0091424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Evaluate the relevance of sources to the research question.</w:t>
      </w:r>
    </w:p>
    <w:p w:rsidR="0091424E" w:rsidRPr="00EB0711" w:rsidRDefault="00EB0711" w:rsidP="0091424E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Deepen</w:t>
      </w:r>
      <w:r w:rsidR="00075168" w:rsidRPr="00EB0711">
        <w:rPr>
          <w:rFonts w:ascii="Times New Roman" w:hAnsi="Times New Roman" w:cs="Times New Roman"/>
        </w:rPr>
        <w:t xml:space="preserve"> Application of Composing Conventions </w:t>
      </w:r>
    </w:p>
    <w:p w:rsidR="0091424E" w:rsidRPr="00EB0711" w:rsidRDefault="0091424E" w:rsidP="0091424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 xml:space="preserve">Apply genre conventions including structure, paragraphing, tone, mechanics, syntax, and style to more extensive or in-depth writing projects. </w:t>
      </w:r>
    </w:p>
    <w:p w:rsidR="004F2521" w:rsidRPr="00EB0711" w:rsidRDefault="0091424E" w:rsidP="0091424E">
      <w:pPr>
        <w:pStyle w:val="ListParagraph"/>
        <w:numPr>
          <w:ilvl w:val="1"/>
          <w:numId w:val="11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Use specialized vocabulary, format, and documentation appropriately.</w:t>
      </w:r>
    </w:p>
    <w:p w:rsidR="0091424E" w:rsidRDefault="0091424E" w:rsidP="004F2521">
      <w:pPr>
        <w:spacing w:after="0"/>
        <w:rPr>
          <w:rFonts w:ascii="Times New Roman" w:hAnsi="Times New Roman" w:cs="Times New Roman"/>
          <w:b/>
          <w:sz w:val="18"/>
          <w:u w:val="single"/>
        </w:rPr>
      </w:pPr>
    </w:p>
    <w:p w:rsidR="00F17791" w:rsidRDefault="00F17791" w:rsidP="00F17791">
      <w:pPr>
        <w:spacing w:after="0"/>
        <w:rPr>
          <w:rFonts w:ascii="Times New Roman" w:hAnsi="Times New Roman" w:cs="Times New Roman"/>
          <w:b/>
          <w:u w:val="single"/>
        </w:rPr>
      </w:pPr>
      <w:r w:rsidRPr="00131359">
        <w:rPr>
          <w:rFonts w:ascii="Times New Roman" w:hAnsi="Times New Roman" w:cs="Times New Roman"/>
          <w:b/>
          <w:color w:val="538135" w:themeColor="accent6" w:themeShade="BF"/>
          <w:sz w:val="24"/>
        </w:rPr>
        <w:t>The following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r w:rsidRPr="005C6329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Student Learning Outcomes </w:t>
      </w:r>
      <w:r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(SLOs) for the required GT-CO2 </w:t>
      </w:r>
      <w:r w:rsidR="006964A5">
        <w:rPr>
          <w:rFonts w:ascii="Times New Roman" w:hAnsi="Times New Roman" w:cs="Times New Roman"/>
          <w:b/>
          <w:color w:val="538135" w:themeColor="accent6" w:themeShade="BF"/>
          <w:sz w:val="24"/>
        </w:rPr>
        <w:t>competencies shall</w:t>
      </w:r>
      <w:r w:rsidR="006964A5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</w:t>
      </w:r>
      <w:proofErr w:type="gramStart"/>
      <w:r w:rsidR="006964A5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be</w:t>
      </w:r>
      <w:r w:rsidR="006964A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either: 1)</w:t>
      </w:r>
      <w:r w:rsidR="006964A5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copied and pasted </w:t>
      </w:r>
      <w:r w:rsidR="006964A5" w:rsidRPr="00171217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verbatim</w:t>
      </w:r>
      <w:r w:rsidR="006964A5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into each instructor’s syllabus</w:t>
      </w:r>
      <w:r w:rsidR="006964A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, </w:t>
      </w:r>
      <w:r w:rsidR="006964A5">
        <w:rPr>
          <w:rFonts w:ascii="Times New Roman" w:hAnsi="Times New Roman" w:cs="Times New Roman"/>
          <w:b/>
          <w:color w:val="538135" w:themeColor="accent6" w:themeShade="BF"/>
          <w:sz w:val="24"/>
          <w:u w:val="single"/>
        </w:rPr>
        <w:t>OR</w:t>
      </w:r>
      <w:r w:rsidR="006964A5">
        <w:rPr>
          <w:rFonts w:ascii="Times New Roman" w:hAnsi="Times New Roman" w:cs="Times New Roman"/>
          <w:b/>
          <w:color w:val="538135" w:themeColor="accent6" w:themeShade="BF"/>
          <w:sz w:val="24"/>
        </w:rPr>
        <w:t xml:space="preserve"> 2) mapped to the institution’s own competencies and SLOs in each instructor’s syllabus</w:t>
      </w:r>
      <w:proofErr w:type="gramEnd"/>
      <w:r w:rsidR="006964A5" w:rsidRPr="00171217">
        <w:rPr>
          <w:rFonts w:ascii="Times New Roman" w:hAnsi="Times New Roman" w:cs="Times New Roman"/>
          <w:b/>
          <w:color w:val="538135" w:themeColor="accent6" w:themeShade="BF"/>
          <w:sz w:val="24"/>
        </w:rPr>
        <w:t>:</w:t>
      </w:r>
    </w:p>
    <w:p w:rsidR="00F17791" w:rsidRDefault="00F17791" w:rsidP="004F2521">
      <w:pPr>
        <w:spacing w:after="0"/>
        <w:rPr>
          <w:rFonts w:ascii="Times New Roman" w:hAnsi="Times New Roman" w:cs="Times New Roman"/>
          <w:b/>
          <w:u w:val="single"/>
        </w:rPr>
      </w:pPr>
    </w:p>
    <w:p w:rsidR="0083558D" w:rsidRPr="00EB0711" w:rsidRDefault="00C9286A" w:rsidP="0083558D">
      <w:p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  <w:b/>
          <w:i/>
        </w:rPr>
        <w:t>Written Communication</w:t>
      </w:r>
    </w:p>
    <w:p w:rsidR="0083558D" w:rsidRPr="00EB0711" w:rsidRDefault="0083558D" w:rsidP="0083558D">
      <w:pPr>
        <w:spacing w:after="0"/>
        <w:ind w:left="36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Employ Rhetorical Knowledge</w:t>
      </w:r>
    </w:p>
    <w:p w:rsidR="0083558D" w:rsidRPr="00EB0711" w:rsidRDefault="0083558D" w:rsidP="0083558D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Exhibit a thorough understanding of audience, purpose, genre, and context that is responsive to the situation.</w:t>
      </w:r>
    </w:p>
    <w:p w:rsidR="00BE283E" w:rsidRPr="00EB0711" w:rsidRDefault="00C9286A" w:rsidP="0083558D">
      <w:pPr>
        <w:spacing w:after="0"/>
        <w:ind w:left="36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Develop Content</w:t>
      </w:r>
    </w:p>
    <w:p w:rsidR="0083558D" w:rsidRPr="00EB0711" w:rsidRDefault="00C9286A" w:rsidP="0083558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Create and develop ideas within the context of the situation and the assigned ta</w:t>
      </w:r>
      <w:bookmarkStart w:id="0" w:name="_GoBack"/>
      <w:bookmarkEnd w:id="0"/>
      <w:r w:rsidRPr="00EB0711">
        <w:rPr>
          <w:rFonts w:ascii="Times New Roman" w:hAnsi="Times New Roman" w:cs="Times New Roman"/>
        </w:rPr>
        <w:t>sk(s).</w:t>
      </w:r>
    </w:p>
    <w:p w:rsidR="00015A56" w:rsidRDefault="00015A56" w:rsidP="0083558D">
      <w:pPr>
        <w:spacing w:after="0"/>
        <w:ind w:left="360"/>
        <w:rPr>
          <w:rFonts w:ascii="Times New Roman" w:hAnsi="Times New Roman" w:cs="Times New Roman"/>
        </w:rPr>
      </w:pPr>
    </w:p>
    <w:p w:rsidR="00C64914" w:rsidRDefault="00C64914" w:rsidP="00FC7309">
      <w:pPr>
        <w:pStyle w:val="Normal1"/>
        <w:tabs>
          <w:tab w:val="left" w:pos="7538"/>
        </w:tabs>
        <w:spacing w:after="360" w:line="240" w:lineRule="auto"/>
        <w:rPr>
          <w:rFonts w:eastAsiaTheme="minorHAnsi"/>
          <w:b/>
          <w:i/>
          <w:color w:val="538135" w:themeColor="accent6" w:themeShade="BF"/>
          <w:sz w:val="22"/>
          <w:szCs w:val="22"/>
        </w:rPr>
      </w:pPr>
      <w:r>
        <w:rPr>
          <w:rFonts w:eastAsiaTheme="minorHAnsi"/>
          <w:b/>
          <w:i/>
          <w:color w:val="538135" w:themeColor="accent6" w:themeShade="BF"/>
          <w:sz w:val="22"/>
          <w:szCs w:val="22"/>
        </w:rPr>
        <w:t>(Instructions continued next page)</w:t>
      </w:r>
      <w:r w:rsidR="00FC7309">
        <w:rPr>
          <w:rFonts w:eastAsiaTheme="minorHAnsi"/>
          <w:b/>
          <w:i/>
          <w:color w:val="538135" w:themeColor="accent6" w:themeShade="BF"/>
          <w:sz w:val="22"/>
          <w:szCs w:val="22"/>
        </w:rPr>
        <w:tab/>
      </w:r>
    </w:p>
    <w:p w:rsidR="00C64914" w:rsidRDefault="00C64914" w:rsidP="0083558D">
      <w:pPr>
        <w:spacing w:after="0"/>
        <w:ind w:left="360"/>
        <w:rPr>
          <w:rFonts w:ascii="Times New Roman" w:hAnsi="Times New Roman" w:cs="Times New Roman"/>
        </w:rPr>
      </w:pPr>
    </w:p>
    <w:p w:rsidR="00C64914" w:rsidRDefault="00C64914" w:rsidP="0083558D">
      <w:pPr>
        <w:spacing w:after="0"/>
        <w:ind w:left="360"/>
        <w:rPr>
          <w:rFonts w:ascii="Times New Roman" w:hAnsi="Times New Roman" w:cs="Times New Roman"/>
        </w:rPr>
      </w:pPr>
    </w:p>
    <w:p w:rsidR="0083558D" w:rsidRPr="00EB0711" w:rsidRDefault="0083558D" w:rsidP="0083558D">
      <w:pPr>
        <w:spacing w:after="0"/>
        <w:ind w:left="36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Apply Genre and Disciplinary Conventions</w:t>
      </w:r>
    </w:p>
    <w:p w:rsidR="0083558D" w:rsidRPr="00EB0711" w:rsidRDefault="0083558D" w:rsidP="0083558D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Apply formal and informal conventions of writing, including organization, content, presentation, formatting, and stylistic choices, in particular forms and/or fields.</w:t>
      </w:r>
    </w:p>
    <w:p w:rsidR="00BE283E" w:rsidRPr="00EB0711" w:rsidRDefault="00BE283E" w:rsidP="00BE283E">
      <w:pPr>
        <w:spacing w:after="0"/>
        <w:ind w:left="36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Use Sources and Evidence</w:t>
      </w:r>
    </w:p>
    <w:p w:rsidR="00BE283E" w:rsidRPr="00EB0711" w:rsidRDefault="00BE283E" w:rsidP="00BE283E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Critically read, evaluate, apply, and synthesize evidence and/or sources in support of a claim.</w:t>
      </w:r>
    </w:p>
    <w:p w:rsidR="00CF3B80" w:rsidRPr="00EB0711" w:rsidRDefault="00BE283E" w:rsidP="00CF3B80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Follow an appropriate documentation system</w:t>
      </w:r>
      <w:r w:rsidR="00E531A4" w:rsidRPr="00EB0711">
        <w:rPr>
          <w:rFonts w:ascii="Times New Roman" w:hAnsi="Times New Roman" w:cs="Times New Roman"/>
        </w:rPr>
        <w:t xml:space="preserve"> </w:t>
      </w:r>
    </w:p>
    <w:p w:rsidR="00CF3B80" w:rsidRPr="00EB0711" w:rsidRDefault="00CF3B80" w:rsidP="00CF3B80">
      <w:pPr>
        <w:spacing w:after="0"/>
        <w:ind w:left="36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Control Syntax and Mechanics</w:t>
      </w:r>
    </w:p>
    <w:p w:rsidR="004E7FA6" w:rsidRDefault="00CF3B80" w:rsidP="00042FF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 w:rsidRPr="00EB0711">
        <w:rPr>
          <w:rFonts w:ascii="Times New Roman" w:hAnsi="Times New Roman" w:cs="Times New Roman"/>
        </w:rPr>
        <w:t>Demonstrate proficiency with conventions, including spellings, grammar, mechanics, and word choice appropriate to the writing task.</w:t>
      </w:r>
    </w:p>
    <w:p w:rsidR="00F17791" w:rsidRDefault="00F17791" w:rsidP="00F17791">
      <w:pPr>
        <w:spacing w:after="0"/>
        <w:rPr>
          <w:rFonts w:ascii="Times New Roman" w:hAnsi="Times New Roman" w:cs="Times New Roman"/>
        </w:rPr>
      </w:pPr>
    </w:p>
    <w:p w:rsidR="00F17791" w:rsidRPr="003434F5" w:rsidRDefault="00F17791" w:rsidP="00F17791">
      <w:pPr>
        <w:pStyle w:val="Normal1"/>
        <w:spacing w:after="360" w:line="240" w:lineRule="auto"/>
      </w:pPr>
      <w:r w:rsidRPr="009E0A3D">
        <w:rPr>
          <w:rFonts w:eastAsiaTheme="minorHAnsi"/>
          <w:b/>
          <w:color w:val="538135" w:themeColor="accent6" w:themeShade="BF"/>
          <w:szCs w:val="22"/>
        </w:rPr>
        <w:t xml:space="preserve">The </w:t>
      </w:r>
      <w:hyperlink r:id="rId9" w:history="1">
        <w:r w:rsidRPr="00015A56">
          <w:rPr>
            <w:rStyle w:val="Hyperlink"/>
            <w:rFonts w:eastAsiaTheme="minorHAnsi"/>
            <w:b/>
            <w:szCs w:val="22"/>
          </w:rPr>
          <w:t>CDHE GT Pathways Course Submittal Form &amp; Institutional Verification</w:t>
        </w:r>
      </w:hyperlink>
      <w:r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i/>
          <w:color w:val="538135" w:themeColor="accent6" w:themeShade="BF"/>
          <w:szCs w:val="22"/>
        </w:rPr>
        <w:t>(</w:t>
      </w:r>
      <w:proofErr w:type="gramStart"/>
      <w:r w:rsidRPr="009E0A3D">
        <w:rPr>
          <w:rFonts w:eastAsiaTheme="minorHAnsi"/>
          <w:b/>
          <w:i/>
          <w:color w:val="538135" w:themeColor="accent6" w:themeShade="BF"/>
          <w:szCs w:val="22"/>
        </w:rPr>
        <w:t>4</w:t>
      </w:r>
      <w:proofErr w:type="gramEnd"/>
      <w:r w:rsidRPr="009E0A3D">
        <w:rPr>
          <w:rFonts w:eastAsiaTheme="minorHAnsi"/>
          <w:b/>
          <w:i/>
          <w:color w:val="538135" w:themeColor="accent6" w:themeShade="BF"/>
          <w:szCs w:val="22"/>
        </w:rPr>
        <w:t xml:space="preserve"> pages)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must be completed</w:t>
      </w:r>
      <w:r w:rsidR="006964A5">
        <w:rPr>
          <w:rFonts w:eastAsiaTheme="minorHAnsi"/>
          <w:b/>
          <w:color w:val="538135" w:themeColor="accent6" w:themeShade="BF"/>
          <w:szCs w:val="22"/>
        </w:rPr>
        <w:t xml:space="preserve"> (except Provost’s signature</w:t>
      </w:r>
      <w:r w:rsidR="00075720">
        <w:rPr>
          <w:rFonts w:eastAsiaTheme="minorHAnsi"/>
          <w:b/>
          <w:color w:val="538135" w:themeColor="accent6" w:themeShade="BF"/>
          <w:szCs w:val="22"/>
        </w:rPr>
        <w:t xml:space="preserve"> on</w:t>
      </w:r>
      <w:r w:rsidR="006964A5">
        <w:rPr>
          <w:rFonts w:eastAsiaTheme="minorHAnsi"/>
          <w:b/>
          <w:color w:val="538135" w:themeColor="accent6" w:themeShade="BF"/>
          <w:szCs w:val="22"/>
        </w:rPr>
        <w:t xml:space="preserve"> page 4, section </w:t>
      </w:r>
      <w:r w:rsidR="00075720">
        <w:rPr>
          <w:rFonts w:eastAsiaTheme="minorHAnsi"/>
          <w:b/>
          <w:color w:val="538135" w:themeColor="accent6" w:themeShade="BF"/>
          <w:szCs w:val="22"/>
        </w:rPr>
        <w:t>V</w:t>
      </w:r>
      <w:r w:rsidR="006964A5">
        <w:rPr>
          <w:rFonts w:eastAsiaTheme="minorHAnsi"/>
          <w:b/>
          <w:color w:val="538135" w:themeColor="accent6" w:themeShade="BF"/>
          <w:szCs w:val="22"/>
        </w:rPr>
        <w:t>)</w:t>
      </w:r>
      <w:r w:rsidR="006964A5"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for </w:t>
      </w:r>
      <w:r w:rsidRPr="009E0A3D">
        <w:rPr>
          <w:rFonts w:eastAsiaTheme="minorHAnsi"/>
          <w:b/>
          <w:color w:val="538135" w:themeColor="accent6" w:themeShade="BF"/>
          <w:szCs w:val="22"/>
          <w:u w:val="single"/>
        </w:rPr>
        <w:t>each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GTP course.  In Section IV, explain how your department will ensure that the required GTP information</w:t>
      </w:r>
      <w:r>
        <w:rPr>
          <w:rFonts w:eastAsiaTheme="minorHAnsi"/>
          <w:b/>
          <w:color w:val="538135" w:themeColor="accent6" w:themeShade="BF"/>
          <w:szCs w:val="22"/>
        </w:rPr>
        <w:t xml:space="preserve"> above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is included on each instructor’s syllabus </w:t>
      </w:r>
      <w:r w:rsidR="0087571F">
        <w:rPr>
          <w:rFonts w:eastAsiaTheme="minorHAnsi"/>
          <w:b/>
          <w:color w:val="538135" w:themeColor="accent6" w:themeShade="BF"/>
          <w:szCs w:val="22"/>
        </w:rPr>
        <w:t>for every section of the course and how this is regularly communicated to teaching faculty.</w:t>
      </w:r>
      <w:r w:rsidR="0087571F"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  <w:r w:rsidRPr="009E0A3D">
        <w:rPr>
          <w:rFonts w:eastAsiaTheme="minorHAnsi"/>
          <w:b/>
          <w:color w:val="538135" w:themeColor="accent6" w:themeShade="BF"/>
          <w:szCs w:val="22"/>
        </w:rPr>
        <w:t xml:space="preserve"> </w:t>
      </w:r>
    </w:p>
    <w:p w:rsidR="00F17791" w:rsidRPr="00F17791" w:rsidRDefault="00F17791" w:rsidP="00F17791">
      <w:pPr>
        <w:spacing w:after="0"/>
        <w:rPr>
          <w:rFonts w:ascii="Times New Roman" w:hAnsi="Times New Roman" w:cs="Times New Roman"/>
        </w:rPr>
      </w:pPr>
    </w:p>
    <w:sectPr w:rsidR="00F17791" w:rsidRPr="00F17791" w:rsidSect="00CC7022">
      <w:footerReference w:type="default" r:id="rId10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04" w:rsidRDefault="009D2604" w:rsidP="009D2604">
      <w:pPr>
        <w:spacing w:after="0" w:line="240" w:lineRule="auto"/>
      </w:pPr>
      <w:r>
        <w:separator/>
      </w:r>
    </w:p>
  </w:endnote>
  <w:end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791" w:rsidRDefault="00FC7309" w:rsidP="00F17791">
    <w:hyperlink r:id="rId1" w:history="1">
      <w:r w:rsidR="00F17791" w:rsidRPr="00BA5396">
        <w:rPr>
          <w:rStyle w:val="Hyperlink"/>
        </w:rPr>
        <w:t>Curriculum &amp; Catalog Unit</w:t>
      </w:r>
    </w:hyperlink>
    <w:r w:rsidR="00F17791">
      <w:t>, Office of the Provost, Colorado State University – Rev. 3/</w:t>
    </w:r>
    <w:r>
      <w:t>10</w:t>
    </w:r>
    <w:r w:rsidR="00F17791">
      <w:t>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04" w:rsidRDefault="009D2604" w:rsidP="009D2604">
      <w:pPr>
        <w:spacing w:after="0" w:line="240" w:lineRule="auto"/>
      </w:pPr>
      <w:r>
        <w:separator/>
      </w:r>
    </w:p>
  </w:footnote>
  <w:footnote w:type="continuationSeparator" w:id="0">
    <w:p w:rsidR="009D2604" w:rsidRDefault="009D2604" w:rsidP="009D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AB5"/>
    <w:multiLevelType w:val="hybridMultilevel"/>
    <w:tmpl w:val="D7EAE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1F57"/>
    <w:multiLevelType w:val="hybridMultilevel"/>
    <w:tmpl w:val="325A0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4C78F3"/>
    <w:multiLevelType w:val="hybridMultilevel"/>
    <w:tmpl w:val="AC748D7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2433DA"/>
    <w:multiLevelType w:val="hybridMultilevel"/>
    <w:tmpl w:val="BEE02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A0163"/>
    <w:multiLevelType w:val="hybridMultilevel"/>
    <w:tmpl w:val="683C4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0780A"/>
    <w:multiLevelType w:val="hybridMultilevel"/>
    <w:tmpl w:val="C396F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D75B0"/>
    <w:multiLevelType w:val="hybridMultilevel"/>
    <w:tmpl w:val="683C4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62AE9"/>
    <w:multiLevelType w:val="hybridMultilevel"/>
    <w:tmpl w:val="AD508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40498"/>
    <w:multiLevelType w:val="hybridMultilevel"/>
    <w:tmpl w:val="E2F2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86582"/>
    <w:multiLevelType w:val="hybridMultilevel"/>
    <w:tmpl w:val="00DC6E5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954EDF"/>
    <w:multiLevelType w:val="hybridMultilevel"/>
    <w:tmpl w:val="019AD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12752"/>
    <w:multiLevelType w:val="hybridMultilevel"/>
    <w:tmpl w:val="44F4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314A4"/>
    <w:multiLevelType w:val="hybridMultilevel"/>
    <w:tmpl w:val="F9BEA0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5839CB"/>
    <w:multiLevelType w:val="hybridMultilevel"/>
    <w:tmpl w:val="325A00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6F68AF"/>
    <w:multiLevelType w:val="hybridMultilevel"/>
    <w:tmpl w:val="94146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2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BF"/>
    <w:rsid w:val="00015A56"/>
    <w:rsid w:val="00056AC0"/>
    <w:rsid w:val="00075168"/>
    <w:rsid w:val="00075720"/>
    <w:rsid w:val="00132906"/>
    <w:rsid w:val="001774BA"/>
    <w:rsid w:val="001A3543"/>
    <w:rsid w:val="00341378"/>
    <w:rsid w:val="004E0E1C"/>
    <w:rsid w:val="004E7FA6"/>
    <w:rsid w:val="004F2521"/>
    <w:rsid w:val="00567579"/>
    <w:rsid w:val="00587EA2"/>
    <w:rsid w:val="005A27C2"/>
    <w:rsid w:val="005A5C2E"/>
    <w:rsid w:val="006964A5"/>
    <w:rsid w:val="007C7C75"/>
    <w:rsid w:val="007D596E"/>
    <w:rsid w:val="0083558D"/>
    <w:rsid w:val="00844DB2"/>
    <w:rsid w:val="00853ED8"/>
    <w:rsid w:val="0087571F"/>
    <w:rsid w:val="008A4ED3"/>
    <w:rsid w:val="009134FA"/>
    <w:rsid w:val="0091424E"/>
    <w:rsid w:val="009170B5"/>
    <w:rsid w:val="009321B5"/>
    <w:rsid w:val="009D2604"/>
    <w:rsid w:val="00AE0632"/>
    <w:rsid w:val="00B359C5"/>
    <w:rsid w:val="00B35BA2"/>
    <w:rsid w:val="00B60A03"/>
    <w:rsid w:val="00BE283E"/>
    <w:rsid w:val="00C60727"/>
    <w:rsid w:val="00C64914"/>
    <w:rsid w:val="00C9286A"/>
    <w:rsid w:val="00C95BC9"/>
    <w:rsid w:val="00CC0B3B"/>
    <w:rsid w:val="00CC7022"/>
    <w:rsid w:val="00CE69C6"/>
    <w:rsid w:val="00CF3B80"/>
    <w:rsid w:val="00CF4C8C"/>
    <w:rsid w:val="00D340D5"/>
    <w:rsid w:val="00D46853"/>
    <w:rsid w:val="00D574DE"/>
    <w:rsid w:val="00DC6236"/>
    <w:rsid w:val="00E531A4"/>
    <w:rsid w:val="00E72BF7"/>
    <w:rsid w:val="00EB0711"/>
    <w:rsid w:val="00EE7942"/>
    <w:rsid w:val="00F17791"/>
    <w:rsid w:val="00F271B8"/>
    <w:rsid w:val="00F81BBF"/>
    <w:rsid w:val="00F83560"/>
    <w:rsid w:val="00F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E10C74"/>
  <w15:chartTrackingRefBased/>
  <w15:docId w15:val="{B088D070-CBE3-453E-8668-567085EE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04"/>
  </w:style>
  <w:style w:type="paragraph" w:styleId="Footer">
    <w:name w:val="footer"/>
    <w:basedOn w:val="Normal"/>
    <w:link w:val="FooterChar"/>
    <w:uiPriority w:val="99"/>
    <w:unhideWhenUsed/>
    <w:rsid w:val="009D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04"/>
  </w:style>
  <w:style w:type="character" w:customStyle="1" w:styleId="Heading1Char">
    <w:name w:val="Heading 1 Char"/>
    <w:basedOn w:val="DefaultParagraphFont"/>
    <w:link w:val="Heading1"/>
    <w:uiPriority w:val="9"/>
    <w:rsid w:val="009D26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2604"/>
    <w:pPr>
      <w:ind w:left="720"/>
      <w:contextualSpacing/>
    </w:pPr>
  </w:style>
  <w:style w:type="paragraph" w:customStyle="1" w:styleId="Normal1">
    <w:name w:val="Normal1"/>
    <w:rsid w:val="00F17791"/>
    <w:pPr>
      <w:widowControl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ighered.colorado.gov/Academics/Transfers/gtPathways/Submittal%20Form/Submittal_Form_GTP_Curriculum_FINAL_WRIT_COMM_GT_CO2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urriculum.colo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859D-F772-48E9-9B7B-4459D892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Ellerby,Shelly</dc:creator>
  <cp:keywords/>
  <dc:description/>
  <cp:lastModifiedBy>Ellerby,Shelly</cp:lastModifiedBy>
  <cp:revision>47</cp:revision>
  <dcterms:created xsi:type="dcterms:W3CDTF">2017-02-17T16:28:00Z</dcterms:created>
  <dcterms:modified xsi:type="dcterms:W3CDTF">2017-03-10T16:38:00Z</dcterms:modified>
</cp:coreProperties>
</file>