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56EEE633" w:rsidR="00912F07" w:rsidRPr="00967748" w:rsidRDefault="008F32A4" w:rsidP="00912F07">
      <w:pPr>
        <w:widowControl w:val="0"/>
        <w:autoSpaceDE w:val="0"/>
        <w:autoSpaceDN w:val="0"/>
        <w:adjustRightInd w:val="0"/>
        <w:spacing w:after="0"/>
        <w:jc w:val="center"/>
        <w:rPr>
          <w:b/>
          <w:color w:val="538135" w:themeColor="accent6" w:themeShade="BF"/>
          <w:sz w:val="28"/>
          <w:szCs w:val="28"/>
        </w:rPr>
      </w:pPr>
      <w:r w:rsidRPr="00967748">
        <w:rPr>
          <w:b/>
          <w:color w:val="538135" w:themeColor="accent6" w:themeShade="BF"/>
          <w:sz w:val="28"/>
          <w:szCs w:val="28"/>
        </w:rPr>
        <w:t>CSU’s AUCC Categor</w:t>
      </w:r>
      <w:r w:rsidR="00A36CA8" w:rsidRPr="00967748">
        <w:rPr>
          <w:b/>
          <w:color w:val="538135" w:themeColor="accent6" w:themeShade="BF"/>
          <w:sz w:val="28"/>
          <w:szCs w:val="28"/>
        </w:rPr>
        <w:t>y</w:t>
      </w:r>
      <w:r w:rsidRPr="00967748">
        <w:rPr>
          <w:b/>
          <w:color w:val="538135" w:themeColor="accent6" w:themeShade="BF"/>
          <w:sz w:val="28"/>
          <w:szCs w:val="28"/>
        </w:rPr>
        <w:t xml:space="preserve"> </w:t>
      </w:r>
      <w:r w:rsidR="004C6EB6" w:rsidRPr="00967748">
        <w:rPr>
          <w:b/>
          <w:color w:val="538135" w:themeColor="accent6" w:themeShade="BF"/>
          <w:sz w:val="28"/>
          <w:szCs w:val="28"/>
        </w:rPr>
        <w:t>1A</w:t>
      </w:r>
      <w:r w:rsidR="00D4362D" w:rsidRPr="00967748">
        <w:rPr>
          <w:b/>
          <w:color w:val="538135" w:themeColor="accent6" w:themeShade="BF"/>
          <w:sz w:val="28"/>
          <w:szCs w:val="28"/>
        </w:rPr>
        <w:t xml:space="preserve">: </w:t>
      </w:r>
      <w:r w:rsidR="004C6EB6" w:rsidRPr="00967748">
        <w:rPr>
          <w:b/>
          <w:color w:val="538135" w:themeColor="accent6" w:themeShade="BF"/>
          <w:sz w:val="28"/>
          <w:szCs w:val="28"/>
        </w:rPr>
        <w:t>Intermediate Writing</w:t>
      </w:r>
    </w:p>
    <w:p w14:paraId="6892EE63" w14:textId="00C3BFAD" w:rsidR="00582342" w:rsidRPr="002938A6" w:rsidRDefault="008F32A4" w:rsidP="002938A6">
      <w:pPr>
        <w:widowControl w:val="0"/>
        <w:autoSpaceDE w:val="0"/>
        <w:autoSpaceDN w:val="0"/>
        <w:adjustRightInd w:val="0"/>
        <w:spacing w:after="0"/>
        <w:jc w:val="center"/>
        <w:rPr>
          <w:b/>
          <w:color w:val="1F4E79" w:themeColor="accent1" w:themeShade="80"/>
          <w:sz w:val="28"/>
          <w:szCs w:val="24"/>
        </w:rPr>
      </w:pPr>
      <w:r w:rsidRPr="00967748">
        <w:rPr>
          <w:b/>
          <w:color w:val="1F4E79" w:themeColor="accent1" w:themeShade="80"/>
          <w:sz w:val="28"/>
          <w:szCs w:val="24"/>
        </w:rPr>
        <w:t xml:space="preserve">GT Pathways </w:t>
      </w:r>
      <w:r w:rsidR="00AB6284" w:rsidRPr="00967748">
        <w:rPr>
          <w:b/>
          <w:color w:val="1F4E79" w:themeColor="accent1" w:themeShade="80"/>
          <w:sz w:val="28"/>
          <w:szCs w:val="24"/>
        </w:rPr>
        <w:t>Written Communication</w:t>
      </w:r>
      <w:r w:rsidRPr="00967748">
        <w:rPr>
          <w:b/>
          <w:color w:val="1F4E79" w:themeColor="accent1" w:themeShade="80"/>
          <w:sz w:val="28"/>
          <w:szCs w:val="24"/>
        </w:rPr>
        <w:t xml:space="preserve"> </w:t>
      </w:r>
      <w:r w:rsidR="00310514" w:rsidRPr="00967748">
        <w:rPr>
          <w:b/>
          <w:color w:val="1F4E79" w:themeColor="accent1" w:themeShade="80"/>
          <w:sz w:val="28"/>
          <w:szCs w:val="24"/>
        </w:rPr>
        <w:t>(</w:t>
      </w:r>
      <w:r w:rsidR="00AB6284" w:rsidRPr="00967748">
        <w:rPr>
          <w:b/>
          <w:color w:val="1F4E79" w:themeColor="accent1" w:themeShade="80"/>
          <w:sz w:val="28"/>
          <w:szCs w:val="24"/>
        </w:rPr>
        <w:t>CO2</w:t>
      </w:r>
      <w:r w:rsidRPr="00967748">
        <w:rPr>
          <w:b/>
          <w:color w:val="1F4E79" w:themeColor="accent1" w:themeShade="80"/>
          <w:sz w:val="28"/>
          <w:szCs w:val="24"/>
        </w:rPr>
        <w:t>)</w:t>
      </w:r>
    </w:p>
    <w:p w14:paraId="735107AB" w14:textId="77777777" w:rsidR="006C6941" w:rsidRPr="00967748" w:rsidRDefault="006C6941" w:rsidP="008F32A4">
      <w:pPr>
        <w:widowControl w:val="0"/>
        <w:autoSpaceDE w:val="0"/>
        <w:autoSpaceDN w:val="0"/>
        <w:adjustRightInd w:val="0"/>
        <w:spacing w:after="0"/>
        <w:rPr>
          <w:szCs w:val="20"/>
          <w:u w:val="single"/>
        </w:rPr>
      </w:pPr>
    </w:p>
    <w:p w14:paraId="5FF4E280" w14:textId="77777777" w:rsidR="002938A6" w:rsidRPr="00296999" w:rsidRDefault="002938A6" w:rsidP="002938A6">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50A231EC" w14:textId="77777777" w:rsidR="002938A6" w:rsidRPr="00296999" w:rsidRDefault="002938A6" w:rsidP="002938A6">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79621A60" w14:textId="77777777" w:rsidR="002938A6" w:rsidRPr="00F17171"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439AC771" w14:textId="77777777" w:rsidR="002938A6" w:rsidRPr="00296999"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23E2098D" w14:textId="77777777" w:rsidR="002938A6"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1953559" w14:textId="77777777" w:rsidR="002938A6" w:rsidRPr="00296999" w:rsidRDefault="002938A6" w:rsidP="002938A6">
      <w:pPr>
        <w:pStyle w:val="ListParagraph"/>
        <w:spacing w:after="0"/>
        <w:ind w:left="1440"/>
        <w:rPr>
          <w:rFonts w:ascii="Times New Roman" w:hAnsi="Times New Roman" w:cs="Times New Roman"/>
          <w:sz w:val="20"/>
          <w:szCs w:val="20"/>
        </w:rPr>
      </w:pPr>
    </w:p>
    <w:p w14:paraId="442C69FA" w14:textId="77777777" w:rsidR="002938A6" w:rsidRPr="00F17171" w:rsidRDefault="002938A6" w:rsidP="002938A6">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74B9671B" w14:textId="77777777" w:rsidR="00454244" w:rsidRPr="00967748" w:rsidRDefault="00454244" w:rsidP="00454244">
      <w:pPr>
        <w:pStyle w:val="ListParagraph"/>
        <w:spacing w:after="0"/>
        <w:rPr>
          <w:rFonts w:ascii="Times New Roman" w:hAnsi="Times New Roman" w:cs="Times New Roman"/>
          <w:sz w:val="20"/>
          <w:szCs w:val="20"/>
        </w:rPr>
      </w:pPr>
    </w:p>
    <w:p w14:paraId="0F9EF5FC" w14:textId="0FB46C88" w:rsidR="002A443F" w:rsidRPr="00967748" w:rsidRDefault="001C3B0D" w:rsidP="002D1647">
      <w:pPr>
        <w:pStyle w:val="ListParagraph"/>
        <w:numPr>
          <w:ilvl w:val="0"/>
          <w:numId w:val="1"/>
        </w:numPr>
        <w:spacing w:after="0"/>
        <w:rPr>
          <w:rFonts w:ascii="Times New Roman" w:hAnsi="Times New Roman" w:cs="Times New Roman"/>
          <w:sz w:val="20"/>
          <w:szCs w:val="20"/>
        </w:rPr>
      </w:pPr>
      <w:r w:rsidRPr="00967748">
        <w:rPr>
          <w:rFonts w:ascii="Times New Roman" w:hAnsi="Times New Roman" w:cs="Times New Roman"/>
          <w:b/>
          <w:sz w:val="20"/>
          <w:szCs w:val="20"/>
        </w:rPr>
        <w:t>CDHE GT Pathways Course Submittal Form &amp; Institutional Verification</w:t>
      </w:r>
      <w:r w:rsidR="00086156" w:rsidRPr="00967748">
        <w:rPr>
          <w:rFonts w:ascii="Times New Roman" w:hAnsi="Times New Roman" w:cs="Times New Roman"/>
          <w:b/>
          <w:sz w:val="20"/>
          <w:szCs w:val="20"/>
        </w:rPr>
        <w:t xml:space="preserve"> </w:t>
      </w:r>
      <w:r w:rsidR="00086156" w:rsidRPr="00205E73">
        <w:rPr>
          <w:rFonts w:ascii="Times New Roman" w:hAnsi="Times New Roman" w:cs="Times New Roman"/>
          <w:b/>
          <w:sz w:val="20"/>
          <w:szCs w:val="20"/>
        </w:rPr>
        <w:t>(</w:t>
      </w:r>
      <w:hyperlink r:id="rId10" w:history="1">
        <w:r w:rsidR="00086156" w:rsidRPr="00205E73">
          <w:rPr>
            <w:rStyle w:val="Hyperlink"/>
            <w:rFonts w:ascii="Times New Roman" w:hAnsi="Times New Roman" w:cs="Times New Roman"/>
            <w:b/>
            <w:sz w:val="20"/>
            <w:szCs w:val="20"/>
          </w:rPr>
          <w:t>Link to Submittal Form</w:t>
        </w:r>
      </w:hyperlink>
      <w:r w:rsidR="00086156" w:rsidRPr="00205E73">
        <w:rPr>
          <w:rFonts w:ascii="Times New Roman" w:hAnsi="Times New Roman" w:cs="Times New Roman"/>
          <w:b/>
          <w:sz w:val="20"/>
          <w:szCs w:val="20"/>
        </w:rPr>
        <w:t>)</w:t>
      </w:r>
      <w:r w:rsidR="002A443F" w:rsidRPr="00967748">
        <w:rPr>
          <w:rFonts w:ascii="Times New Roman" w:hAnsi="Times New Roman" w:cs="Times New Roman"/>
          <w:b/>
          <w:sz w:val="20"/>
          <w:szCs w:val="20"/>
        </w:rPr>
        <w:t>:</w:t>
      </w:r>
    </w:p>
    <w:p w14:paraId="703A9E70" w14:textId="13C9DCFE" w:rsidR="001C3B0D" w:rsidRPr="00967748" w:rsidRDefault="001C3B0D" w:rsidP="00454244">
      <w:pPr>
        <w:pStyle w:val="ListParagraph"/>
        <w:spacing w:after="0"/>
        <w:rPr>
          <w:rFonts w:ascii="Times New Roman" w:hAnsi="Times New Roman" w:cs="Times New Roman"/>
          <w:sz w:val="20"/>
          <w:szCs w:val="20"/>
        </w:rPr>
      </w:pPr>
      <w:r w:rsidRPr="00967748">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967748">
        <w:rPr>
          <w:rFonts w:ascii="Times New Roman" w:hAnsi="Times New Roman" w:cs="Times New Roman"/>
          <w:color w:val="C00000"/>
          <w:sz w:val="20"/>
          <w:szCs w:val="20"/>
          <w:u w:val="single"/>
        </w:rPr>
        <w:t>each syllabus for every section of the course</w:t>
      </w:r>
      <w:r w:rsidRPr="00967748">
        <w:rPr>
          <w:rFonts w:ascii="Times New Roman" w:hAnsi="Times New Roman" w:cs="Times New Roman"/>
          <w:color w:val="C00000"/>
          <w:sz w:val="20"/>
          <w:szCs w:val="20"/>
        </w:rPr>
        <w:t xml:space="preserve"> </w:t>
      </w:r>
      <w:r w:rsidRPr="00967748">
        <w:rPr>
          <w:rFonts w:ascii="Times New Roman" w:hAnsi="Times New Roman" w:cs="Times New Roman"/>
          <w:sz w:val="20"/>
          <w:szCs w:val="20"/>
        </w:rPr>
        <w:t>and how this will be regularly communicated to teaching faculty.  Section V ‘Institutional Verification’ will be completed by the Provost’s Office after UCC review.</w:t>
      </w:r>
    </w:p>
    <w:p w14:paraId="13DD1AD0" w14:textId="77777777" w:rsidR="001C3B0D" w:rsidRPr="00967748" w:rsidRDefault="001C3B0D" w:rsidP="001C3B0D">
      <w:pPr>
        <w:pStyle w:val="ListParagraph"/>
        <w:spacing w:after="0"/>
        <w:rPr>
          <w:rFonts w:ascii="Times New Roman" w:hAnsi="Times New Roman" w:cs="Times New Roman"/>
          <w:sz w:val="20"/>
          <w:szCs w:val="20"/>
        </w:rPr>
      </w:pPr>
    </w:p>
    <w:p w14:paraId="245A553C" w14:textId="6E5AB03F" w:rsidR="001C3B0D" w:rsidRPr="00296999" w:rsidRDefault="001C3B0D" w:rsidP="001C3B0D">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001F5D8F" w:rsidRPr="00967748">
          <w:rPr>
            <w:rStyle w:val="Hyperlink"/>
            <w:rFonts w:ascii="Times New Roman" w:hAnsi="Times New Roman" w:cs="Times New Roman"/>
            <w:sz w:val="20"/>
            <w:szCs w:val="20"/>
          </w:rPr>
          <w:t>https://curriculum.colostate.edu/aucc</w:t>
        </w:r>
      </w:hyperlink>
      <w:r w:rsidR="001F5D8F" w:rsidRPr="00967748">
        <w:rPr>
          <w:rFonts w:ascii="Times New Roman" w:hAnsi="Times New Roman" w:cs="Times New Roman"/>
          <w:sz w:val="20"/>
          <w:szCs w:val="20"/>
        </w:rPr>
        <w:t xml:space="preserve">. </w:t>
      </w:r>
      <w:r w:rsidRPr="00967748">
        <w:rPr>
          <w:rFonts w:ascii="Times New Roman" w:hAnsi="Times New Roman" w:cs="Times New Roman"/>
          <w:sz w:val="20"/>
          <w:szCs w:val="20"/>
        </w:rPr>
        <w:t xml:space="preserve">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00CD5A16"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w:t>
      </w:r>
      <w:r w:rsidR="001F5D8F" w:rsidRPr="00967748">
        <w:rPr>
          <w:rFonts w:ascii="Times New Roman" w:hAnsi="Times New Roman" w:cs="Times New Roman"/>
          <w:sz w:val="20"/>
          <w:szCs w:val="20"/>
        </w:rPr>
        <w:t xml:space="preserve"> AUCC and</w:t>
      </w:r>
      <w:r w:rsidRPr="00967748">
        <w:rPr>
          <w:rFonts w:ascii="Times New Roman" w:hAnsi="Times New Roman" w:cs="Times New Roman"/>
          <w:sz w:val="20"/>
          <w:szCs w:val="20"/>
        </w:rPr>
        <w:t xml:space="preserve"> GT Pathways (re)submission process.</w:t>
      </w:r>
      <w:r w:rsidRPr="00296999">
        <w:rPr>
          <w:rFonts w:ascii="Times New Roman" w:hAnsi="Times New Roman" w:cs="Times New Roman"/>
          <w:sz w:val="20"/>
          <w:szCs w:val="20"/>
        </w:rPr>
        <w:t xml:space="preserve"> </w:t>
      </w:r>
    </w:p>
    <w:p w14:paraId="74E6E23D" w14:textId="77777777" w:rsidR="003852B4" w:rsidRPr="00D67DC5" w:rsidRDefault="003852B4" w:rsidP="003852B4">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58823D50" w14:textId="77777777" w:rsidR="003852B4" w:rsidRDefault="003852B4" w:rsidP="003852B4">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7770958" w14:textId="77777777" w:rsidR="003852B4" w:rsidRPr="00296999" w:rsidRDefault="003852B4" w:rsidP="003852B4">
      <w:pPr>
        <w:pStyle w:val="ListParagraph"/>
        <w:spacing w:after="0"/>
        <w:rPr>
          <w:rFonts w:ascii="Times New Roman" w:hAnsi="Times New Roman" w:cs="Times New Roman"/>
          <w:sz w:val="20"/>
          <w:szCs w:val="20"/>
        </w:rPr>
      </w:pPr>
    </w:p>
    <w:p w14:paraId="4CAE424B" w14:textId="4C931B28" w:rsidR="003852B4" w:rsidRDefault="003852B4" w:rsidP="003852B4">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w:t>
      </w:r>
      <w:r w:rsidR="00AE0D2B">
        <w:rPr>
          <w:rFonts w:ascii="Times New Roman" w:hAnsi="Times New Roman" w:cs="Times New Roman"/>
          <w:sz w:val="20"/>
          <w:szCs w:val="20"/>
        </w:rPr>
        <w:t>t the appropriate AUCC category</w:t>
      </w:r>
      <w:r w:rsidR="00F7466E">
        <w:rPr>
          <w:rFonts w:ascii="Times New Roman" w:hAnsi="Times New Roman" w:cs="Times New Roman"/>
          <w:sz w:val="20"/>
          <w:szCs w:val="20"/>
        </w:rPr>
        <w:t>.</w:t>
      </w:r>
      <w:r w:rsidRPr="00277679">
        <w:rPr>
          <w:rFonts w:ascii="Times New Roman" w:hAnsi="Times New Roman" w:cs="Times New Roman"/>
          <w:sz w:val="20"/>
          <w:szCs w:val="20"/>
        </w:rPr>
        <w:t xml:space="preserve"> </w:t>
      </w:r>
    </w:p>
    <w:p w14:paraId="741127B6" w14:textId="77777777" w:rsidR="003852B4" w:rsidRDefault="003852B4" w:rsidP="003852B4">
      <w:pPr>
        <w:pStyle w:val="ListParagraph"/>
        <w:spacing w:after="0"/>
        <w:rPr>
          <w:rFonts w:ascii="Times New Roman" w:hAnsi="Times New Roman" w:cs="Times New Roman"/>
          <w:sz w:val="20"/>
          <w:szCs w:val="20"/>
        </w:rPr>
      </w:pPr>
    </w:p>
    <w:p w14:paraId="326320BA" w14:textId="0D48D3D9" w:rsidR="00DB1738" w:rsidRDefault="00AB6284" w:rsidP="003852B4">
      <w:pPr>
        <w:ind w:left="360"/>
        <w:rPr>
          <w:rFonts w:ascii="Times New Roman" w:hAnsi="Times New Roman" w:cs="Times New Roman"/>
          <w:sz w:val="20"/>
          <w:szCs w:val="20"/>
        </w:rPr>
      </w:pPr>
      <w:r>
        <w:rPr>
          <w:noProof/>
        </w:rPr>
        <w:drawing>
          <wp:inline distT="0" distB="0" distL="0" distR="0" wp14:anchorId="3884E19C" wp14:editId="066F829F">
            <wp:extent cx="4593386" cy="25812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5860" cy="2588285"/>
                    </a:xfrm>
                    <a:prstGeom prst="rect">
                      <a:avLst/>
                    </a:prstGeom>
                    <a:ln>
                      <a:solidFill>
                        <a:schemeClr val="tx1"/>
                      </a:solidFill>
                    </a:ln>
                  </pic:spPr>
                </pic:pic>
              </a:graphicData>
            </a:graphic>
          </wp:inline>
        </w:drawing>
      </w:r>
    </w:p>
    <w:p w14:paraId="072C6D20" w14:textId="268A9FC3" w:rsidR="00DB1738" w:rsidRDefault="00DB1738" w:rsidP="006969E8">
      <w:pPr>
        <w:jc w:val="center"/>
        <w:rPr>
          <w:rFonts w:ascii="Times New Roman" w:eastAsia="Times New Roman" w:hAnsi="Times New Roman" w:cs="Times New Roman"/>
          <w:sz w:val="20"/>
          <w:szCs w:val="20"/>
          <w:u w:val="single"/>
        </w:rPr>
      </w:pPr>
    </w:p>
    <w:p w14:paraId="069C79CF" w14:textId="3B9A3A2A" w:rsidR="00EF7B7B" w:rsidRDefault="00EF7B7B" w:rsidP="006969E8">
      <w:pPr>
        <w:jc w:val="center"/>
        <w:rPr>
          <w:rFonts w:ascii="Times New Roman" w:eastAsia="Times New Roman" w:hAnsi="Times New Roman" w:cs="Times New Roman"/>
          <w:sz w:val="20"/>
          <w:szCs w:val="20"/>
          <w:u w:val="single"/>
        </w:rPr>
      </w:pPr>
    </w:p>
    <w:p w14:paraId="26B6402A" w14:textId="4D18755B" w:rsidR="003852B4" w:rsidRDefault="003852B4" w:rsidP="006969E8">
      <w:pPr>
        <w:jc w:val="center"/>
        <w:rPr>
          <w:rFonts w:ascii="Times New Roman" w:eastAsia="Times New Roman" w:hAnsi="Times New Roman" w:cs="Times New Roman"/>
          <w:sz w:val="20"/>
          <w:szCs w:val="20"/>
          <w:u w:val="single"/>
        </w:rPr>
      </w:pPr>
    </w:p>
    <w:p w14:paraId="3E5AF80E" w14:textId="2DD7A5E7" w:rsidR="003852B4" w:rsidRDefault="003852B4" w:rsidP="006969E8">
      <w:pPr>
        <w:jc w:val="center"/>
        <w:rPr>
          <w:rFonts w:ascii="Times New Roman" w:eastAsia="Times New Roman" w:hAnsi="Times New Roman" w:cs="Times New Roman"/>
          <w:sz w:val="20"/>
          <w:szCs w:val="20"/>
          <w:u w:val="single"/>
        </w:rPr>
      </w:pPr>
    </w:p>
    <w:p w14:paraId="4504519B" w14:textId="77777777" w:rsidR="003852B4" w:rsidRPr="007B6BA5" w:rsidRDefault="003852B4" w:rsidP="006969E8">
      <w:pPr>
        <w:jc w:val="center"/>
        <w:rPr>
          <w:rFonts w:ascii="Times New Roman" w:eastAsia="Times New Roman" w:hAnsi="Times New Roman" w:cs="Times New Roman"/>
          <w:sz w:val="20"/>
          <w:szCs w:val="20"/>
          <w:u w:val="single"/>
        </w:rPr>
      </w:pPr>
    </w:p>
    <w:p w14:paraId="53240254" w14:textId="49866C1F" w:rsidR="003852B4" w:rsidRDefault="003852B4" w:rsidP="003852B4">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44EEC969" w14:textId="1EB7B75F" w:rsidR="003852B4" w:rsidRDefault="003852B4" w:rsidP="003852B4">
      <w:pPr>
        <w:spacing w:after="0"/>
        <w:ind w:left="360"/>
        <w:rPr>
          <w:rFonts w:ascii="Times New Roman" w:hAnsi="Times New Roman" w:cs="Times New Roman"/>
          <w:sz w:val="20"/>
          <w:szCs w:val="20"/>
        </w:rPr>
      </w:pPr>
    </w:p>
    <w:p w14:paraId="0902813F" w14:textId="7EF81CC9" w:rsidR="003852B4" w:rsidRPr="003852B4" w:rsidRDefault="003852B4" w:rsidP="003852B4">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5EFBF8FA" wp14:editId="038B8044">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211714CD" w14:textId="77777777" w:rsidR="003852B4" w:rsidRPr="003852B4" w:rsidRDefault="003852B4" w:rsidP="003852B4">
      <w:pPr>
        <w:pStyle w:val="ListParagraph"/>
        <w:rPr>
          <w:rFonts w:ascii="Times New Roman" w:eastAsia="Times New Roman" w:hAnsi="Times New Roman" w:cs="Times New Roman"/>
          <w:sz w:val="20"/>
          <w:szCs w:val="20"/>
          <w:u w:val="single"/>
        </w:rPr>
      </w:pPr>
    </w:p>
    <w:p w14:paraId="1BA2C0ED" w14:textId="77777777" w:rsidR="003852B4" w:rsidRPr="00282667" w:rsidRDefault="003852B4" w:rsidP="003852B4">
      <w:pPr>
        <w:pStyle w:val="ListParagraph"/>
        <w:numPr>
          <w:ilvl w:val="0"/>
          <w:numId w:val="2"/>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23970C07" w14:textId="77777777" w:rsidR="00625857" w:rsidRPr="00625857" w:rsidRDefault="00625857" w:rsidP="00625857">
      <w:pPr>
        <w:pStyle w:val="ListParagraph"/>
        <w:rPr>
          <w:rFonts w:ascii="Times New Roman" w:eastAsia="Times New Roman" w:hAnsi="Times New Roman" w:cs="Times New Roman"/>
          <w:sz w:val="20"/>
          <w:szCs w:val="20"/>
          <w:u w:val="single"/>
        </w:rPr>
      </w:pPr>
    </w:p>
    <w:p w14:paraId="4DA8B56B" w14:textId="77777777" w:rsidR="003852B4" w:rsidRPr="00282667" w:rsidRDefault="003852B4" w:rsidP="003852B4">
      <w:pPr>
        <w:pStyle w:val="ListParagraph"/>
        <w:numPr>
          <w:ilvl w:val="0"/>
          <w:numId w:val="2"/>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403BD958" w14:textId="1A6FD8A6" w:rsidR="003852B4" w:rsidRDefault="00234DF4" w:rsidP="00234DF4">
      <w:pPr>
        <w:ind w:left="720"/>
        <w:rPr>
          <w:rFonts w:ascii="Times New Roman" w:eastAsia="Times New Roman" w:hAnsi="Times New Roman" w:cs="Times New Roman"/>
          <w:u w:val="single"/>
        </w:rPr>
      </w:pPr>
      <w:r>
        <w:rPr>
          <w:noProof/>
        </w:rPr>
        <w:drawing>
          <wp:inline distT="0" distB="0" distL="0" distR="0" wp14:anchorId="27DC7699" wp14:editId="22629CC3">
            <wp:extent cx="6309387" cy="2981140"/>
            <wp:effectExtent l="19050" t="19050" r="1524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44453" cy="2997709"/>
                    </a:xfrm>
                    <a:prstGeom prst="rect">
                      <a:avLst/>
                    </a:prstGeom>
                    <a:ln>
                      <a:solidFill>
                        <a:schemeClr val="tx1"/>
                      </a:solidFill>
                    </a:ln>
                  </pic:spPr>
                </pic:pic>
              </a:graphicData>
            </a:graphic>
          </wp:inline>
        </w:drawing>
      </w:r>
    </w:p>
    <w:p w14:paraId="034C32D5" w14:textId="450BA013" w:rsidR="003852B4" w:rsidRPr="00234DF4" w:rsidRDefault="003852B4" w:rsidP="003852B4">
      <w:pPr>
        <w:pStyle w:val="ListParagraph"/>
        <w:numPr>
          <w:ilvl w:val="0"/>
          <w:numId w:val="2"/>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6A08D729" w14:textId="4007BA7B" w:rsidR="00234DF4" w:rsidRDefault="00234DF4" w:rsidP="00234DF4">
      <w:pPr>
        <w:pStyle w:val="ListParagraph"/>
        <w:rPr>
          <w:rFonts w:ascii="Times New Roman" w:eastAsia="Times New Roman" w:hAnsi="Times New Roman" w:cs="Times New Roman"/>
          <w:sz w:val="20"/>
          <w:szCs w:val="20"/>
          <w:u w:val="single"/>
        </w:rPr>
      </w:pPr>
    </w:p>
    <w:p w14:paraId="0389CADE" w14:textId="77777777" w:rsidR="004D2A91" w:rsidRPr="003852B4" w:rsidRDefault="004D2A91" w:rsidP="00234DF4">
      <w:pPr>
        <w:pStyle w:val="ListParagraph"/>
        <w:rPr>
          <w:rFonts w:ascii="Times New Roman" w:eastAsia="Times New Roman" w:hAnsi="Times New Roman" w:cs="Times New Roman"/>
          <w:sz w:val="20"/>
          <w:szCs w:val="20"/>
          <w:u w:val="single"/>
        </w:rPr>
      </w:pPr>
    </w:p>
    <w:p w14:paraId="765480F2" w14:textId="34CE5356" w:rsidR="003852B4" w:rsidRDefault="003852B4" w:rsidP="003852B4">
      <w:pPr>
        <w:ind w:left="720"/>
        <w:rPr>
          <w:rFonts w:ascii="Times New Roman" w:hAnsi="Times New Roman" w:cs="Times New Roman"/>
          <w:sz w:val="20"/>
          <w:szCs w:val="20"/>
        </w:rPr>
      </w:pPr>
      <w:r w:rsidRPr="003852B4">
        <w:rPr>
          <w:rFonts w:ascii="Times New Roman" w:eastAsia="Times New Roman" w:hAnsi="Times New Roman" w:cs="Times New Roman"/>
          <w:b/>
          <w:sz w:val="20"/>
          <w:szCs w:val="20"/>
          <w:u w:val="single"/>
        </w:rPr>
        <w:lastRenderedPageBreak/>
        <w:t>NOTE</w:t>
      </w:r>
      <w:r w:rsidRPr="003852B4">
        <w:rPr>
          <w:rFonts w:ascii="Times New Roman" w:eastAsia="Times New Roman" w:hAnsi="Times New Roman" w:cs="Times New Roman"/>
          <w:b/>
          <w:sz w:val="20"/>
          <w:szCs w:val="20"/>
        </w:rPr>
        <w:t>:</w:t>
      </w:r>
      <w:r w:rsidRPr="003852B4">
        <w:rPr>
          <w:rFonts w:ascii="Times New Roman" w:eastAsia="Times New Roman" w:hAnsi="Times New Roman" w:cs="Times New Roman"/>
          <w:sz w:val="20"/>
          <w:szCs w:val="20"/>
        </w:rPr>
        <w:t xml:space="preserve">  The </w:t>
      </w:r>
      <w:r w:rsidRPr="003852B4">
        <w:rPr>
          <w:rFonts w:ascii="Times New Roman" w:hAnsi="Times New Roman" w:cs="Times New Roman"/>
          <w:b/>
          <w:sz w:val="20"/>
          <w:szCs w:val="20"/>
        </w:rPr>
        <w:t xml:space="preserve">Course Content </w:t>
      </w:r>
      <w:r w:rsidRPr="003852B4">
        <w:rPr>
          <w:rFonts w:ascii="Times New Roman" w:hAnsi="Times New Roman" w:cs="Times New Roman"/>
          <w:sz w:val="20"/>
          <w:szCs w:val="20"/>
        </w:rPr>
        <w:t xml:space="preserve">grid is no longer a required field on the CIM form. Previously approved content is still viewable for historical purposes, but it is </w:t>
      </w:r>
      <w:r w:rsidRPr="003852B4">
        <w:rPr>
          <w:rFonts w:ascii="Times New Roman" w:hAnsi="Times New Roman" w:cs="Times New Roman"/>
          <w:sz w:val="20"/>
          <w:szCs w:val="20"/>
          <w:u w:val="single"/>
        </w:rPr>
        <w:t>not</w:t>
      </w:r>
      <w:r w:rsidRPr="003852B4">
        <w:rPr>
          <w:rFonts w:ascii="Times New Roman" w:hAnsi="Times New Roman" w:cs="Times New Roman"/>
          <w:sz w:val="20"/>
          <w:szCs w:val="20"/>
        </w:rPr>
        <w:t xml:space="preserve"> available to edit. </w:t>
      </w:r>
    </w:p>
    <w:p w14:paraId="4ADAEA25" w14:textId="2A684280" w:rsidR="003852B4" w:rsidRPr="00234DF4" w:rsidRDefault="003852B4" w:rsidP="00234DF4">
      <w:pPr>
        <w:ind w:left="720"/>
        <w:rPr>
          <w:rFonts w:ascii="Times New Roman" w:eastAsia="Times New Roman" w:hAnsi="Times New Roman" w:cs="Times New Roman"/>
          <w:sz w:val="20"/>
          <w:szCs w:val="20"/>
        </w:rPr>
      </w:pPr>
      <w:r>
        <w:rPr>
          <w:noProof/>
        </w:rPr>
        <w:drawing>
          <wp:inline distT="0" distB="0" distL="0" distR="0" wp14:anchorId="1C1B5247" wp14:editId="5F304190">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7508ABD1" w14:textId="77777777" w:rsidR="00234DF4" w:rsidRPr="00234DF4" w:rsidRDefault="00234DF4" w:rsidP="00234DF4">
      <w:pPr>
        <w:pStyle w:val="ListParagraph"/>
        <w:rPr>
          <w:rFonts w:ascii="Times New Roman" w:eastAsia="Times New Roman" w:hAnsi="Times New Roman" w:cs="Times New Roman"/>
          <w:sz w:val="20"/>
          <w:szCs w:val="20"/>
          <w:u w:val="single"/>
        </w:rPr>
      </w:pPr>
    </w:p>
    <w:p w14:paraId="10FF121C" w14:textId="30D80D56" w:rsidR="003852B4" w:rsidRPr="004D2A91" w:rsidRDefault="003852B4" w:rsidP="004D2A91">
      <w:pPr>
        <w:pStyle w:val="ListParagraph"/>
        <w:numPr>
          <w:ilvl w:val="0"/>
          <w:numId w:val="2"/>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24667857" w14:textId="2AD98A0B" w:rsidR="003852B4" w:rsidRDefault="00234DF4" w:rsidP="003852B4">
      <w:pPr>
        <w:ind w:left="720"/>
        <w:rPr>
          <w:rFonts w:ascii="Times New Roman" w:eastAsia="Times New Roman" w:hAnsi="Times New Roman" w:cs="Times New Roman"/>
          <w:u w:val="single"/>
        </w:rPr>
      </w:pPr>
      <w:r>
        <w:rPr>
          <w:noProof/>
        </w:rPr>
        <w:drawing>
          <wp:inline distT="0" distB="0" distL="0" distR="0" wp14:anchorId="7691A37B" wp14:editId="4C399D92">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r w:rsidR="003852B4">
        <w:rPr>
          <w:noProof/>
        </w:rPr>
        <w:t xml:space="preserve">   </w:t>
      </w:r>
    </w:p>
    <w:p w14:paraId="0AC1D270" w14:textId="77777777" w:rsidR="003852B4" w:rsidRPr="003852B4" w:rsidRDefault="003852B4" w:rsidP="003852B4">
      <w:pPr>
        <w:rPr>
          <w:rFonts w:ascii="Times New Roman" w:eastAsia="Times New Roman" w:hAnsi="Times New Roman" w:cs="Times New Roman"/>
          <w:sz w:val="20"/>
          <w:szCs w:val="20"/>
          <w:u w:val="single"/>
        </w:rPr>
      </w:pPr>
    </w:p>
    <w:p w14:paraId="4965C8B8" w14:textId="291AE042" w:rsidR="003852B4" w:rsidRPr="003852B4" w:rsidRDefault="003852B4" w:rsidP="003852B4">
      <w:pPr>
        <w:ind w:firstLine="360"/>
        <w:rPr>
          <w:rFonts w:ascii="Times New Roman" w:hAnsi="Times New Roman" w:cs="Times New Roman"/>
          <w:sz w:val="20"/>
          <w:szCs w:val="20"/>
        </w:rPr>
      </w:pPr>
    </w:p>
    <w:p w14:paraId="43916D9E" w14:textId="77777777" w:rsidR="00FE0DFE" w:rsidRPr="00E31C7A" w:rsidRDefault="00FE0DFE">
      <w:pPr>
        <w:rPr>
          <w:rFonts w:ascii="Times New Roman" w:eastAsia="Times New Roman" w:hAnsi="Times New Roman" w:cs="Times New Roman"/>
          <w:u w:val="single"/>
        </w:rPr>
      </w:pPr>
    </w:p>
    <w:p w14:paraId="1FCB3EC2" w14:textId="45E94B6E" w:rsidR="00FE0DFE" w:rsidRDefault="00FE0DFE">
      <w:pPr>
        <w:rPr>
          <w:rFonts w:ascii="Times New Roman" w:eastAsia="Times New Roman" w:hAnsi="Times New Roman" w:cs="Times New Roman"/>
          <w:b/>
          <w:u w:val="single"/>
        </w:rPr>
        <w:sectPr w:rsidR="00FE0DFE" w:rsidSect="00912F07">
          <w:footerReference w:type="default" r:id="rId21"/>
          <w:pgSz w:w="12240" w:h="15840" w:code="1"/>
          <w:pgMar w:top="630" w:right="576" w:bottom="864" w:left="576" w:header="0" w:footer="0" w:gutter="0"/>
          <w:cols w:space="720"/>
          <w:docGrid w:linePitch="360"/>
        </w:sectPr>
      </w:pPr>
    </w:p>
    <w:p w14:paraId="5BC41A2B" w14:textId="6A0DAD90" w:rsidR="00AB6284" w:rsidRDefault="00AB6284" w:rsidP="00AB6284">
      <w:pPr>
        <w:widowControl w:val="0"/>
        <w:autoSpaceDE w:val="0"/>
        <w:autoSpaceDN w:val="0"/>
        <w:adjustRightInd w:val="0"/>
        <w:spacing w:after="0"/>
        <w:rPr>
          <w:color w:val="1F4E79" w:themeColor="accent1" w:themeShade="80"/>
          <w:sz w:val="28"/>
          <w:szCs w:val="24"/>
        </w:rPr>
      </w:pPr>
      <w:r w:rsidRPr="00D42D85">
        <w:rPr>
          <w:color w:val="538135" w:themeColor="accent6" w:themeShade="BF"/>
          <w:sz w:val="28"/>
          <w:szCs w:val="28"/>
        </w:rPr>
        <w:lastRenderedPageBreak/>
        <w:t xml:space="preserve">CSU’s </w:t>
      </w:r>
      <w:r>
        <w:rPr>
          <w:color w:val="538135" w:themeColor="accent6" w:themeShade="BF"/>
          <w:sz w:val="28"/>
          <w:szCs w:val="28"/>
        </w:rPr>
        <w:t>AUCC Category</w:t>
      </w:r>
      <w:r w:rsidRPr="00D42D85">
        <w:rPr>
          <w:color w:val="538135" w:themeColor="accent6" w:themeShade="BF"/>
          <w:sz w:val="28"/>
          <w:szCs w:val="28"/>
        </w:rPr>
        <w:t xml:space="preserve"> </w:t>
      </w:r>
      <w:r w:rsidRPr="00D42D85">
        <w:rPr>
          <w:b/>
          <w:color w:val="538135" w:themeColor="accent6" w:themeShade="BF"/>
          <w:sz w:val="28"/>
          <w:szCs w:val="28"/>
        </w:rPr>
        <w:t>1A: Intermediate Writing</w:t>
      </w:r>
      <w:r w:rsidRPr="00D42D85">
        <w:rPr>
          <w:color w:val="538135" w:themeColor="accent6" w:themeShade="BF"/>
          <w:sz w:val="28"/>
          <w:szCs w:val="28"/>
        </w:rPr>
        <w:t xml:space="preserve"> </w:t>
      </w:r>
      <w:r>
        <w:rPr>
          <w:color w:val="538135" w:themeColor="accent6" w:themeShade="BF"/>
          <w:sz w:val="28"/>
          <w:szCs w:val="28"/>
        </w:rPr>
        <w:tab/>
      </w:r>
      <w:r>
        <w:rPr>
          <w:color w:val="538135" w:themeColor="accent6" w:themeShade="BF"/>
          <w:sz w:val="28"/>
          <w:szCs w:val="28"/>
        </w:rPr>
        <w:tab/>
      </w:r>
      <w:r>
        <w:rPr>
          <w:color w:val="538135" w:themeColor="accent6" w:themeShade="BF"/>
          <w:sz w:val="28"/>
          <w:szCs w:val="28"/>
        </w:rPr>
        <w:tab/>
        <w:t xml:space="preserve">          </w:t>
      </w:r>
      <w:r>
        <w:rPr>
          <w:color w:val="538135" w:themeColor="accent6" w:themeShade="BF"/>
          <w:sz w:val="28"/>
          <w:szCs w:val="28"/>
        </w:rPr>
        <w:tab/>
      </w:r>
      <w:r>
        <w:rPr>
          <w:color w:val="538135" w:themeColor="accent6" w:themeShade="BF"/>
          <w:sz w:val="28"/>
          <w:szCs w:val="28"/>
        </w:rPr>
        <w:tab/>
        <w:t xml:space="preserve">      </w:t>
      </w:r>
      <w:r w:rsidRPr="00C3266A">
        <w:rPr>
          <w:color w:val="1F4E79" w:themeColor="accent1" w:themeShade="80"/>
          <w:sz w:val="28"/>
          <w:szCs w:val="24"/>
        </w:rPr>
        <w:t xml:space="preserve">GT Pathways </w:t>
      </w:r>
      <w:r w:rsidRPr="00C3266A">
        <w:rPr>
          <w:b/>
          <w:color w:val="1F4E79" w:themeColor="accent1" w:themeShade="80"/>
          <w:sz w:val="28"/>
          <w:szCs w:val="24"/>
        </w:rPr>
        <w:t>Written Communication</w:t>
      </w:r>
      <w:r>
        <w:rPr>
          <w:color w:val="1F4E79" w:themeColor="accent1" w:themeShade="80"/>
          <w:sz w:val="28"/>
          <w:szCs w:val="24"/>
        </w:rPr>
        <w:t xml:space="preserve"> (CO2</w:t>
      </w:r>
      <w:r w:rsidRPr="00C3266A">
        <w:rPr>
          <w:color w:val="1F4E79" w:themeColor="accent1" w:themeShade="80"/>
          <w:sz w:val="28"/>
          <w:szCs w:val="24"/>
        </w:rPr>
        <w:t>)</w:t>
      </w:r>
    </w:p>
    <w:p w14:paraId="0D2CBBBD" w14:textId="77777777" w:rsidR="00AB6284" w:rsidRPr="00C3266A" w:rsidRDefault="00AB6284" w:rsidP="00AB6284">
      <w:pPr>
        <w:widowControl w:val="0"/>
        <w:autoSpaceDE w:val="0"/>
        <w:autoSpaceDN w:val="0"/>
        <w:adjustRightInd w:val="0"/>
        <w:spacing w:after="0"/>
        <w:rPr>
          <w:color w:val="1F4E79" w:themeColor="accent1" w:themeShade="80"/>
          <w:sz w:val="28"/>
          <w:szCs w:val="24"/>
        </w:rPr>
      </w:pPr>
    </w:p>
    <w:p w14:paraId="082B0C84" w14:textId="5F9F82A3" w:rsidR="00AB6284" w:rsidRDefault="00AB6284" w:rsidP="00AB6284">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The Colorado Co</w:t>
      </w:r>
      <w:r w:rsidRPr="00D64C1F">
        <w:rPr>
          <w:rFonts w:ascii="Times New Roman" w:eastAsia="Times New Roman" w:hAnsi="Times New Roman" w:cs="Times New Roman"/>
          <w:sz w:val="19"/>
          <w:szCs w:val="19"/>
        </w:rPr>
        <w:t xml:space="preserve">mmission on Higher Education has approved XXXX #### for inclusion in the Guaranteed Transfer (GT) Pathways program in the </w:t>
      </w:r>
      <w:r w:rsidRPr="00D64C1F">
        <w:rPr>
          <w:rFonts w:ascii="Times New Roman" w:eastAsia="Times New Roman" w:hAnsi="Times New Roman" w:cs="Times New Roman"/>
          <w:b/>
          <w:sz w:val="19"/>
          <w:szCs w:val="19"/>
        </w:rPr>
        <w:t>GT-</w:t>
      </w:r>
      <w:r w:rsidR="00D64C1F" w:rsidRPr="00D64C1F">
        <w:rPr>
          <w:rFonts w:ascii="Times New Roman" w:eastAsia="Times New Roman" w:hAnsi="Times New Roman" w:cs="Times New Roman"/>
          <w:b/>
          <w:sz w:val="19"/>
          <w:szCs w:val="19"/>
        </w:rPr>
        <w:t>CO2</w:t>
      </w:r>
      <w:r w:rsidRPr="00D64C1F">
        <w:rPr>
          <w:rFonts w:ascii="Times New Roman" w:eastAsia="Times New Roman" w:hAnsi="Times New Roman" w:cs="Times New Roman"/>
          <w:sz w:val="19"/>
          <w:szCs w:val="19"/>
        </w:rPr>
        <w:t xml:space="preserve"> category. </w:t>
      </w:r>
      <w:r w:rsidRPr="00912302">
        <w:rPr>
          <w:rFonts w:ascii="Times New Roman" w:eastAsia="Times New Roman" w:hAnsi="Times New Roman" w:cs="Times New Roman"/>
          <w:sz w:val="19"/>
          <w:szCs w:val="19"/>
        </w:rPr>
        <w:t xml:space="preserve">For transferring students, successful completion with a minimum C‒ grade guarantees transfer and application of credit in this GT Pathways category. For more information on the GT Pathways program, go to </w:t>
      </w:r>
      <w:hyperlink r:id="rId22" w:history="1">
        <w:r w:rsidRPr="00912302">
          <w:rPr>
            <w:rStyle w:val="Hyperlink"/>
            <w:rFonts w:ascii="Times New Roman" w:eastAsia="Times New Roman" w:hAnsi="Times New Roman" w:cs="Times New Roman"/>
            <w:sz w:val="19"/>
            <w:szCs w:val="19"/>
          </w:rPr>
          <w:t>http://highered.colorado.gov/academics/transfers/gtpathways/curriculum.html</w:t>
        </w:r>
      </w:hyperlink>
      <w:r w:rsidRPr="00912302">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p>
    <w:p w14:paraId="768BE909" w14:textId="3C1CF873" w:rsidR="00AB6284" w:rsidRPr="00631BF7" w:rsidRDefault="00AB6284" w:rsidP="00AB6284">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00BB239F"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346456C5" w14:textId="4812A23F" w:rsidR="00F3757E" w:rsidRPr="00631BF7" w:rsidRDefault="00AB6284" w:rsidP="00AB6284">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sidR="00F3757E">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sidR="00BB239F">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00F3757E" w:rsidRPr="006A29A6">
        <w:rPr>
          <w:rFonts w:ascii="Times New Roman" w:eastAsia="Times New Roman" w:hAnsi="Times New Roman" w:cs="Times New Roman"/>
          <w:sz w:val="19"/>
          <w:szCs w:val="19"/>
        </w:rPr>
        <w:t xml:space="preserve">. Respond to the following prompt in the </w:t>
      </w:r>
      <w:r w:rsidR="00F3757E" w:rsidRPr="006A29A6">
        <w:rPr>
          <w:rFonts w:ascii="Times New Roman" w:eastAsia="Times New Roman" w:hAnsi="Times New Roman" w:cs="Times New Roman"/>
          <w:b/>
          <w:sz w:val="19"/>
          <w:szCs w:val="19"/>
        </w:rPr>
        <w:t>AUCC justification section</w:t>
      </w:r>
      <w:r w:rsidR="00F3757E"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sidR="006A29A6">
        <w:rPr>
          <w:rFonts w:ascii="Times New Roman" w:eastAsia="Times New Roman" w:hAnsi="Times New Roman" w:cs="Times New Roman"/>
          <w:sz w:val="19"/>
          <w:szCs w:val="19"/>
        </w:rPr>
        <w:t>”</w:t>
      </w:r>
    </w:p>
    <w:tbl>
      <w:tblPr>
        <w:tblStyle w:val="TableGrid"/>
        <w:tblW w:w="14760" w:type="dxa"/>
        <w:tblInd w:w="-185" w:type="dxa"/>
        <w:tblLook w:val="04A0" w:firstRow="1" w:lastRow="0" w:firstColumn="1" w:lastColumn="0" w:noHBand="0" w:noVBand="1"/>
      </w:tblPr>
      <w:tblGrid>
        <w:gridCol w:w="1327"/>
        <w:gridCol w:w="1614"/>
        <w:gridCol w:w="7158"/>
        <w:gridCol w:w="4661"/>
      </w:tblGrid>
      <w:tr w:rsidR="00AB6284" w:rsidRPr="00544D74" w14:paraId="12A1C203" w14:textId="77777777" w:rsidTr="00142204">
        <w:tc>
          <w:tcPr>
            <w:tcW w:w="1327" w:type="dxa"/>
            <w:shd w:val="clear" w:color="auto" w:fill="D0CECE" w:themeFill="background2" w:themeFillShade="E6"/>
          </w:tcPr>
          <w:p w14:paraId="43621C9F" w14:textId="77777777" w:rsidR="00AB6284" w:rsidRPr="000078A1" w:rsidRDefault="00AB6284" w:rsidP="00142204">
            <w:pPr>
              <w:rPr>
                <w:rFonts w:ascii="Times New Roman" w:hAnsi="Times New Roman" w:cs="Times New Roman"/>
                <w:b/>
                <w:color w:val="538135" w:themeColor="accent6" w:themeShade="BF"/>
                <w:szCs w:val="24"/>
              </w:rPr>
            </w:pPr>
            <w:r w:rsidRPr="000078A1">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25F0E059" w14:textId="77777777" w:rsidR="00AB6284" w:rsidRPr="000464F6" w:rsidRDefault="00AB6284" w:rsidP="00142204">
            <w:pPr>
              <w:rPr>
                <w:rFonts w:ascii="Times New Roman" w:hAnsi="Times New Roman" w:cs="Times New Roman"/>
                <w:b/>
                <w:color w:val="1F4E79" w:themeColor="accent1" w:themeShade="80"/>
                <w:szCs w:val="24"/>
              </w:rPr>
            </w:pPr>
            <w:r w:rsidRPr="000464F6">
              <w:rPr>
                <w:rFonts w:ascii="Times New Roman" w:hAnsi="Times New Roman" w:cs="Times New Roman"/>
                <w:b/>
                <w:color w:val="1F4E79" w:themeColor="accent1" w:themeShade="80"/>
                <w:szCs w:val="24"/>
              </w:rPr>
              <w:t>GT Pathways Content Area</w:t>
            </w:r>
          </w:p>
        </w:tc>
        <w:tc>
          <w:tcPr>
            <w:tcW w:w="7158" w:type="dxa"/>
            <w:shd w:val="clear" w:color="auto" w:fill="D0CECE" w:themeFill="background2" w:themeFillShade="E6"/>
          </w:tcPr>
          <w:p w14:paraId="24DB6EFB" w14:textId="77777777" w:rsidR="00AB6284" w:rsidRDefault="00AB6284" w:rsidP="00142204">
            <w:pPr>
              <w:rPr>
                <w:rFonts w:ascii="Times New Roman" w:hAnsi="Times New Roman" w:cs="Times New Roman"/>
                <w:b/>
              </w:rPr>
            </w:pPr>
            <w:r w:rsidRPr="00544D74">
              <w:rPr>
                <w:rFonts w:ascii="Times New Roman" w:hAnsi="Times New Roman" w:cs="Times New Roman"/>
                <w:b/>
              </w:rPr>
              <w:t>Content Criteria</w:t>
            </w:r>
          </w:p>
          <w:p w14:paraId="113D52F3" w14:textId="77777777" w:rsidR="00AB6284" w:rsidRDefault="00AB6284" w:rsidP="00142204">
            <w:pPr>
              <w:rPr>
                <w:rFonts w:ascii="Times New Roman" w:hAnsi="Times New Roman" w:cs="Times New Roman"/>
                <w:sz w:val="20"/>
                <w:szCs w:val="20"/>
              </w:rPr>
            </w:pPr>
            <w:r w:rsidRPr="00F53E43">
              <w:rPr>
                <w:rFonts w:ascii="Times New Roman" w:hAnsi="Times New Roman" w:cs="Times New Roman"/>
                <w:sz w:val="20"/>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w:t>
            </w:r>
            <w:r>
              <w:rPr>
                <w:rFonts w:ascii="Times New Roman" w:hAnsi="Times New Roman" w:cs="Times New Roman"/>
                <w:sz w:val="20"/>
                <w:szCs w:val="20"/>
              </w:rPr>
              <w:t xml:space="preserve"> in each category of the AUCC. </w:t>
            </w:r>
          </w:p>
          <w:p w14:paraId="78A3FDDB" w14:textId="77777777" w:rsidR="00AB6284" w:rsidRPr="00544D74" w:rsidRDefault="00AB6284" w:rsidP="00142204">
            <w:pPr>
              <w:rPr>
                <w:rFonts w:ascii="Times New Roman" w:hAnsi="Times New Roman" w:cs="Times New Roman"/>
                <w:b/>
              </w:rPr>
            </w:pPr>
          </w:p>
        </w:tc>
        <w:tc>
          <w:tcPr>
            <w:tcW w:w="4661" w:type="dxa"/>
            <w:shd w:val="clear" w:color="auto" w:fill="D0CECE" w:themeFill="background2" w:themeFillShade="E6"/>
          </w:tcPr>
          <w:p w14:paraId="464EA2A2" w14:textId="12686564" w:rsidR="00AB6284" w:rsidRDefault="00BB239F" w:rsidP="00142204">
            <w:pPr>
              <w:rPr>
                <w:rFonts w:ascii="Times New Roman" w:hAnsi="Times New Roman" w:cs="Times New Roman"/>
                <w:b/>
              </w:rPr>
            </w:pPr>
            <w:r>
              <w:rPr>
                <w:rFonts w:ascii="Times New Roman" w:hAnsi="Times New Roman" w:cs="Times New Roman"/>
                <w:b/>
              </w:rPr>
              <w:t xml:space="preserve">Core </w:t>
            </w:r>
            <w:r w:rsidR="00AB6284" w:rsidRPr="00544D74">
              <w:rPr>
                <w:rFonts w:ascii="Times New Roman" w:hAnsi="Times New Roman" w:cs="Times New Roman"/>
                <w:b/>
              </w:rPr>
              <w:t>Student Learning Outcomes</w:t>
            </w:r>
          </w:p>
          <w:p w14:paraId="51C2063B" w14:textId="61C1FB57" w:rsidR="00AB6284" w:rsidRDefault="00BB239F" w:rsidP="00142204">
            <w:pPr>
              <w:rPr>
                <w:rFonts w:ascii="Times New Roman" w:hAnsi="Times New Roman" w:cs="Times New Roman"/>
                <w:sz w:val="20"/>
                <w:szCs w:val="20"/>
              </w:rPr>
            </w:pPr>
            <w:r>
              <w:rPr>
                <w:rFonts w:ascii="Times New Roman" w:hAnsi="Times New Roman" w:cs="Times New Roman"/>
                <w:sz w:val="20"/>
                <w:szCs w:val="20"/>
              </w:rPr>
              <w:t xml:space="preserve">Core </w:t>
            </w:r>
            <w:r w:rsidR="00AB6284" w:rsidRPr="00F53E43">
              <w:rPr>
                <w:rFonts w:ascii="Times New Roman" w:hAnsi="Times New Roman" w:cs="Times New Roman"/>
                <w:sz w:val="20"/>
                <w:szCs w:val="20"/>
              </w:rPr>
              <w:t>Student Learning Outcomes are transferable skills that students garner in a variety of educational settings and that have wide applicability across fields and in life.</w:t>
            </w:r>
          </w:p>
          <w:p w14:paraId="1B75D60F" w14:textId="77777777" w:rsidR="00AB6284" w:rsidRPr="00544D74" w:rsidRDefault="00AB6284" w:rsidP="00142204">
            <w:pPr>
              <w:rPr>
                <w:rFonts w:ascii="Times New Roman" w:hAnsi="Times New Roman" w:cs="Times New Roman"/>
                <w:b/>
              </w:rPr>
            </w:pPr>
          </w:p>
        </w:tc>
      </w:tr>
      <w:tr w:rsidR="00AB6284" w14:paraId="38716D13" w14:textId="77777777" w:rsidTr="00142204">
        <w:trPr>
          <w:trHeight w:val="413"/>
        </w:trPr>
        <w:tc>
          <w:tcPr>
            <w:tcW w:w="1327" w:type="dxa"/>
            <w:shd w:val="clear" w:color="auto" w:fill="auto"/>
          </w:tcPr>
          <w:p w14:paraId="629CA848" w14:textId="77777777" w:rsidR="00AB6284" w:rsidRPr="000078A1" w:rsidRDefault="00AB6284" w:rsidP="00142204">
            <w:pPr>
              <w:rPr>
                <w:rFonts w:ascii="Times New Roman" w:hAnsi="Times New Roman" w:cs="Times New Roman"/>
                <w:b/>
                <w:color w:val="538135" w:themeColor="accent6" w:themeShade="BF"/>
                <w:sz w:val="20"/>
                <w:szCs w:val="20"/>
              </w:rPr>
            </w:pPr>
          </w:p>
          <w:p w14:paraId="2EF0BF07" w14:textId="77777777" w:rsidR="00AB6284" w:rsidRPr="000078A1" w:rsidRDefault="00AB6284" w:rsidP="00142204">
            <w:pPr>
              <w:rPr>
                <w:rFonts w:ascii="Times New Roman" w:hAnsi="Times New Roman" w:cs="Times New Roman"/>
                <w:b/>
                <w:color w:val="538135" w:themeColor="accent6" w:themeShade="BF"/>
                <w:sz w:val="20"/>
                <w:szCs w:val="20"/>
              </w:rPr>
            </w:pPr>
            <w:r w:rsidRPr="000078A1">
              <w:rPr>
                <w:rFonts w:ascii="Times New Roman" w:hAnsi="Times New Roman" w:cs="Times New Roman"/>
                <w:b/>
                <w:color w:val="538135" w:themeColor="accent6" w:themeShade="BF"/>
                <w:sz w:val="20"/>
                <w:szCs w:val="20"/>
              </w:rPr>
              <w:t>1A:</w:t>
            </w:r>
            <w:r w:rsidRPr="000078A1">
              <w:rPr>
                <w:rFonts w:ascii="Times New Roman" w:hAnsi="Times New Roman" w:cs="Times New Roman"/>
                <w:color w:val="538135" w:themeColor="accent6" w:themeShade="BF"/>
                <w:sz w:val="20"/>
                <w:szCs w:val="20"/>
              </w:rPr>
              <w:t xml:space="preserve"> </w:t>
            </w:r>
            <w:r w:rsidRPr="00581F8E">
              <w:rPr>
                <w:rFonts w:ascii="Times New Roman" w:hAnsi="Times New Roman" w:cs="Times New Roman"/>
                <w:color w:val="538135" w:themeColor="accent6" w:themeShade="BF"/>
                <w:sz w:val="20"/>
                <w:szCs w:val="20"/>
              </w:rPr>
              <w:t>Intermediate Writing</w:t>
            </w:r>
          </w:p>
        </w:tc>
        <w:tc>
          <w:tcPr>
            <w:tcW w:w="1614" w:type="dxa"/>
            <w:shd w:val="clear" w:color="auto" w:fill="auto"/>
          </w:tcPr>
          <w:p w14:paraId="64DD4675" w14:textId="77777777" w:rsidR="00AB6284" w:rsidRPr="000464F6" w:rsidRDefault="00AB6284" w:rsidP="00142204">
            <w:pPr>
              <w:rPr>
                <w:rFonts w:ascii="Times New Roman" w:hAnsi="Times New Roman" w:cs="Times New Roman"/>
                <w:b/>
                <w:color w:val="1F4E79" w:themeColor="accent1" w:themeShade="80"/>
                <w:sz w:val="20"/>
                <w:szCs w:val="20"/>
              </w:rPr>
            </w:pPr>
          </w:p>
          <w:p w14:paraId="17E4EB52" w14:textId="77777777" w:rsidR="00AB6284" w:rsidRPr="000464F6" w:rsidRDefault="00AB6284" w:rsidP="00142204">
            <w:pPr>
              <w:rPr>
                <w:rFonts w:ascii="Times New Roman" w:hAnsi="Times New Roman" w:cs="Times New Roman"/>
                <w:b/>
                <w:color w:val="1F4E79" w:themeColor="accent1" w:themeShade="80"/>
                <w:sz w:val="20"/>
                <w:szCs w:val="20"/>
              </w:rPr>
            </w:pPr>
            <w:r w:rsidRPr="000464F6">
              <w:rPr>
                <w:rFonts w:ascii="Times New Roman" w:hAnsi="Times New Roman" w:cs="Times New Roman"/>
                <w:b/>
                <w:color w:val="1F4E79" w:themeColor="accent1" w:themeShade="80"/>
                <w:sz w:val="20"/>
                <w:szCs w:val="20"/>
              </w:rPr>
              <w:t xml:space="preserve">GT-CO2: </w:t>
            </w:r>
          </w:p>
          <w:p w14:paraId="44246315" w14:textId="77777777" w:rsidR="00AB6284" w:rsidRPr="000464F6" w:rsidRDefault="00AB6284" w:rsidP="00142204">
            <w:pPr>
              <w:rPr>
                <w:rFonts w:ascii="Times New Roman" w:hAnsi="Times New Roman" w:cs="Times New Roman"/>
                <w:b/>
                <w:color w:val="1F4E79" w:themeColor="accent1" w:themeShade="80"/>
                <w:sz w:val="20"/>
                <w:szCs w:val="20"/>
              </w:rPr>
            </w:pPr>
            <w:r w:rsidRPr="000464F6">
              <w:rPr>
                <w:rFonts w:ascii="Times New Roman" w:hAnsi="Times New Roman" w:cs="Times New Roman"/>
                <w:color w:val="1F4E79" w:themeColor="accent1" w:themeShade="80"/>
                <w:sz w:val="20"/>
                <w:szCs w:val="20"/>
              </w:rPr>
              <w:t>Intermediate Writing Course</w:t>
            </w:r>
          </w:p>
        </w:tc>
        <w:tc>
          <w:tcPr>
            <w:tcW w:w="7158" w:type="dxa"/>
            <w:shd w:val="clear" w:color="auto" w:fill="auto"/>
          </w:tcPr>
          <w:p w14:paraId="42FA029B" w14:textId="77777777" w:rsidR="00AB6284" w:rsidRDefault="00AB6284" w:rsidP="00142204">
            <w:pPr>
              <w:contextualSpacing/>
              <w:rPr>
                <w:rFonts w:ascii="Times New Roman" w:hAnsi="Times New Roman" w:cs="Times New Roman"/>
                <w:b/>
                <w:sz w:val="20"/>
                <w:szCs w:val="20"/>
              </w:rPr>
            </w:pPr>
          </w:p>
          <w:p w14:paraId="0C42D651" w14:textId="77777777" w:rsidR="00AB6284" w:rsidRPr="00DB576B" w:rsidRDefault="00AB6284" w:rsidP="00AB6284">
            <w:pPr>
              <w:numPr>
                <w:ilvl w:val="0"/>
                <w:numId w:val="23"/>
              </w:numPr>
              <w:ind w:left="376"/>
              <w:contextualSpacing/>
              <w:rPr>
                <w:rFonts w:ascii="Times New Roman" w:hAnsi="Times New Roman" w:cs="Times New Roman"/>
                <w:b/>
                <w:sz w:val="20"/>
                <w:szCs w:val="20"/>
              </w:rPr>
            </w:pPr>
            <w:r w:rsidRPr="00DB576B">
              <w:rPr>
                <w:rFonts w:ascii="Times New Roman" w:hAnsi="Times New Roman" w:cs="Times New Roman"/>
                <w:b/>
                <w:sz w:val="20"/>
                <w:szCs w:val="20"/>
              </w:rPr>
              <w:t>Deepen Rhetorical Knowledge</w:t>
            </w:r>
          </w:p>
          <w:p w14:paraId="7B24AB60" w14:textId="77777777" w:rsidR="00AB6284" w:rsidRPr="00DB576B" w:rsidRDefault="00AB6284" w:rsidP="00AB6284">
            <w:pPr>
              <w:numPr>
                <w:ilvl w:val="1"/>
                <w:numId w:val="23"/>
              </w:numPr>
              <w:ind w:left="376" w:firstLine="0"/>
              <w:contextualSpacing/>
              <w:rPr>
                <w:rFonts w:ascii="Times New Roman" w:hAnsi="Times New Roman" w:cs="Times New Roman"/>
                <w:sz w:val="20"/>
                <w:szCs w:val="20"/>
              </w:rPr>
            </w:pPr>
            <w:r w:rsidRPr="00DB576B">
              <w:rPr>
                <w:rFonts w:ascii="Times New Roman" w:hAnsi="Times New Roman" w:cs="Times New Roman"/>
                <w:sz w:val="20"/>
                <w:szCs w:val="20"/>
              </w:rPr>
              <w:t xml:space="preserve">Focus on rhetorical situation, audience, and purpose. </w:t>
            </w:r>
          </w:p>
          <w:p w14:paraId="48CF8CCB"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Use voice, tone, format, and structure appropriately, deepening understanding of relationships between form and content in writing. </w:t>
            </w:r>
          </w:p>
          <w:p w14:paraId="5D591898" w14:textId="77777777" w:rsidR="00AB6284" w:rsidRPr="00DB576B" w:rsidRDefault="00AB6284" w:rsidP="00AB6284">
            <w:pPr>
              <w:numPr>
                <w:ilvl w:val="1"/>
                <w:numId w:val="23"/>
              </w:numPr>
              <w:ind w:left="706" w:hanging="330"/>
              <w:contextualSpacing/>
              <w:rPr>
                <w:rFonts w:ascii="Times New Roman" w:hAnsi="Times New Roman" w:cs="Times New Roman"/>
                <w:sz w:val="20"/>
                <w:szCs w:val="20"/>
              </w:rPr>
            </w:pPr>
            <w:r w:rsidRPr="00DB576B">
              <w:rPr>
                <w:rFonts w:ascii="Times New Roman" w:hAnsi="Times New Roman" w:cs="Times New Roman"/>
                <w:sz w:val="20"/>
                <w:szCs w:val="20"/>
              </w:rPr>
              <w:t>Write and read texts written in several genres, for specified discourse communities. These communities may</w:t>
            </w:r>
            <w:r>
              <w:rPr>
                <w:rFonts w:ascii="Times New Roman" w:hAnsi="Times New Roman" w:cs="Times New Roman"/>
                <w:sz w:val="20"/>
                <w:szCs w:val="20"/>
              </w:rPr>
              <w:t xml:space="preserve"> be</w:t>
            </w:r>
            <w:r w:rsidRPr="00DB576B">
              <w:rPr>
                <w:rFonts w:ascii="Times New Roman" w:hAnsi="Times New Roman" w:cs="Times New Roman"/>
                <w:sz w:val="20"/>
                <w:szCs w:val="20"/>
              </w:rPr>
              <w:t xml:space="preserve"> professional or disciplinary</w:t>
            </w:r>
            <w:r>
              <w:rPr>
                <w:rFonts w:ascii="Times New Roman" w:hAnsi="Times New Roman" w:cs="Times New Roman"/>
                <w:sz w:val="20"/>
                <w:szCs w:val="20"/>
              </w:rPr>
              <w:t>.</w:t>
            </w:r>
          </w:p>
          <w:p w14:paraId="3E1158AF" w14:textId="77777777" w:rsidR="00AB6284" w:rsidRPr="00DB576B" w:rsidRDefault="00AB6284" w:rsidP="00AB6284">
            <w:pPr>
              <w:numPr>
                <w:ilvl w:val="1"/>
                <w:numId w:val="23"/>
              </w:numPr>
              <w:ind w:left="706" w:hanging="330"/>
              <w:contextualSpacing/>
              <w:rPr>
                <w:rFonts w:ascii="Times New Roman" w:hAnsi="Times New Roman" w:cs="Times New Roman"/>
                <w:sz w:val="20"/>
                <w:szCs w:val="20"/>
              </w:rPr>
            </w:pPr>
            <w:r w:rsidRPr="00DB576B">
              <w:rPr>
                <w:rFonts w:ascii="Times New Roman" w:hAnsi="Times New Roman" w:cs="Times New Roman"/>
                <w:sz w:val="20"/>
                <w:szCs w:val="20"/>
              </w:rPr>
              <w:t>Practice reflective strategies.</w:t>
            </w:r>
          </w:p>
          <w:p w14:paraId="3A8406C5" w14:textId="77777777" w:rsidR="00AB6284" w:rsidRPr="00DB576B" w:rsidRDefault="00AB6284" w:rsidP="00AB6284">
            <w:pPr>
              <w:numPr>
                <w:ilvl w:val="0"/>
                <w:numId w:val="23"/>
              </w:numPr>
              <w:ind w:left="376"/>
              <w:contextualSpacing/>
              <w:rPr>
                <w:rFonts w:ascii="Times New Roman" w:hAnsi="Times New Roman" w:cs="Times New Roman"/>
                <w:b/>
                <w:sz w:val="20"/>
                <w:szCs w:val="20"/>
              </w:rPr>
            </w:pPr>
            <w:r w:rsidRPr="00DB576B">
              <w:rPr>
                <w:rFonts w:ascii="Times New Roman" w:hAnsi="Times New Roman" w:cs="Times New Roman"/>
                <w:b/>
                <w:sz w:val="20"/>
                <w:szCs w:val="20"/>
              </w:rPr>
              <w:t>Deepen Experience in Writing</w:t>
            </w:r>
          </w:p>
          <w:p w14:paraId="76047B32"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Develop recursive strategies for generating ideas, revising, editing, and proofreading for extensive, in-depth, and/or collaborative projects. </w:t>
            </w:r>
          </w:p>
          <w:p w14:paraId="24F71FE2"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Critique one’s own and other’s work.</w:t>
            </w:r>
          </w:p>
          <w:p w14:paraId="378ED82D"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Deepen Critical and Creative Thinking</w:t>
            </w:r>
          </w:p>
          <w:p w14:paraId="7E07FD3A"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Evaluate the relevance of context. </w:t>
            </w:r>
          </w:p>
          <w:p w14:paraId="138A93D5"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Synthesize other points of view within one’s own position. </w:t>
            </w:r>
          </w:p>
          <w:p w14:paraId="46560C4C"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Reflect on the implications and consequences of the stated conclusion.</w:t>
            </w:r>
          </w:p>
          <w:p w14:paraId="6E22A91B"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 xml:space="preserve">Use Sources and Evidence </w:t>
            </w:r>
          </w:p>
          <w:p w14:paraId="42BE676C"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Select and evaluate appropriate sources and evidence. </w:t>
            </w:r>
          </w:p>
          <w:p w14:paraId="1D926265"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Evaluate the relevance of sources to the research question.</w:t>
            </w:r>
          </w:p>
          <w:p w14:paraId="13D56D19"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 xml:space="preserve">Deepen Application of Composing Conventions </w:t>
            </w:r>
          </w:p>
          <w:p w14:paraId="7DC71898"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Apply genre conventions including structure, paragraphing, tone, mechanics, syntax, and style to more extensive or in-depth writing projects. </w:t>
            </w:r>
          </w:p>
          <w:p w14:paraId="5A07681E"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Use specialized vocabulary, format, and documentation appropriately.</w:t>
            </w:r>
          </w:p>
          <w:p w14:paraId="69322C20" w14:textId="77777777" w:rsidR="00AB6284" w:rsidRPr="00DB576B" w:rsidRDefault="00AB6284" w:rsidP="00142204">
            <w:pPr>
              <w:widowControl w:val="0"/>
              <w:autoSpaceDE w:val="0"/>
              <w:autoSpaceDN w:val="0"/>
              <w:adjustRightInd w:val="0"/>
              <w:rPr>
                <w:rFonts w:ascii="Times New Roman" w:eastAsia="Times New Roman" w:hAnsi="Times New Roman" w:cs="Times New Roman"/>
                <w:color w:val="000000"/>
                <w:sz w:val="20"/>
                <w:szCs w:val="20"/>
              </w:rPr>
            </w:pPr>
          </w:p>
        </w:tc>
        <w:tc>
          <w:tcPr>
            <w:tcW w:w="4661" w:type="dxa"/>
            <w:shd w:val="clear" w:color="auto" w:fill="auto"/>
          </w:tcPr>
          <w:p w14:paraId="44D3B0AD" w14:textId="77777777" w:rsidR="00AB6284" w:rsidRPr="00DB576B" w:rsidRDefault="00AB6284" w:rsidP="00142204">
            <w:pPr>
              <w:spacing w:before="240"/>
              <w:rPr>
                <w:rFonts w:ascii="Times New Roman" w:hAnsi="Times New Roman" w:cs="Times New Roman"/>
                <w:sz w:val="20"/>
                <w:szCs w:val="20"/>
                <w:u w:val="single"/>
              </w:rPr>
            </w:pPr>
            <w:r w:rsidRPr="00DB576B">
              <w:rPr>
                <w:rFonts w:ascii="Times New Roman" w:hAnsi="Times New Roman" w:cs="Times New Roman"/>
                <w:i/>
                <w:sz w:val="20"/>
                <w:szCs w:val="20"/>
                <w:u w:val="single"/>
              </w:rPr>
              <w:t>Written Communication</w:t>
            </w:r>
          </w:p>
          <w:p w14:paraId="082DA9A7"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Employ Rhetorical Knowledge</w:t>
            </w:r>
          </w:p>
          <w:p w14:paraId="5AD2261C" w14:textId="77777777" w:rsidR="00AB6284" w:rsidRDefault="00AB6284" w:rsidP="00AB6284">
            <w:pPr>
              <w:pStyle w:val="ListParagraph"/>
              <w:numPr>
                <w:ilvl w:val="0"/>
                <w:numId w:val="24"/>
              </w:numPr>
              <w:ind w:left="770"/>
              <w:rPr>
                <w:rFonts w:ascii="Times New Roman" w:hAnsi="Times New Roman" w:cs="Times New Roman"/>
                <w:sz w:val="20"/>
                <w:szCs w:val="20"/>
              </w:rPr>
            </w:pPr>
            <w:r w:rsidRPr="00DB576B">
              <w:rPr>
                <w:rFonts w:ascii="Times New Roman" w:hAnsi="Times New Roman" w:cs="Times New Roman"/>
                <w:sz w:val="20"/>
                <w:szCs w:val="20"/>
              </w:rPr>
              <w:t>Exhibit a thorough understanding of audience, purpose, genre, and context that is responsive to the situation.</w:t>
            </w:r>
          </w:p>
          <w:p w14:paraId="4B0CF416" w14:textId="77777777" w:rsidR="00AB6284" w:rsidRPr="009F7D2D"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Develop Content</w:t>
            </w:r>
          </w:p>
          <w:p w14:paraId="4AFCC9C2" w14:textId="77777777" w:rsidR="00AB6284" w:rsidRPr="00DB576B" w:rsidRDefault="00AB6284" w:rsidP="00AB6284">
            <w:pPr>
              <w:pStyle w:val="ListParagraph"/>
              <w:numPr>
                <w:ilvl w:val="0"/>
                <w:numId w:val="26"/>
              </w:numPr>
              <w:ind w:left="770" w:hanging="349"/>
              <w:rPr>
                <w:rFonts w:ascii="Times New Roman" w:hAnsi="Times New Roman" w:cs="Times New Roman"/>
                <w:sz w:val="20"/>
                <w:szCs w:val="20"/>
              </w:rPr>
            </w:pPr>
            <w:r w:rsidRPr="00DB576B">
              <w:rPr>
                <w:rFonts w:ascii="Times New Roman" w:hAnsi="Times New Roman" w:cs="Times New Roman"/>
                <w:sz w:val="20"/>
                <w:szCs w:val="20"/>
              </w:rPr>
              <w:t>Create and develop ideas within the context of the situation and the assigned task(s).</w:t>
            </w:r>
          </w:p>
          <w:p w14:paraId="5ED4E22E"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Apply Genre and Disciplinary Conventions</w:t>
            </w:r>
          </w:p>
          <w:p w14:paraId="27F5DC39" w14:textId="77777777" w:rsidR="00AB6284" w:rsidRPr="00DB576B" w:rsidRDefault="00AB6284" w:rsidP="00AB6284">
            <w:pPr>
              <w:pStyle w:val="ListParagraph"/>
              <w:numPr>
                <w:ilvl w:val="0"/>
                <w:numId w:val="28"/>
              </w:numPr>
              <w:ind w:left="778"/>
              <w:rPr>
                <w:rFonts w:ascii="Times New Roman" w:hAnsi="Times New Roman" w:cs="Times New Roman"/>
                <w:sz w:val="20"/>
                <w:szCs w:val="20"/>
              </w:rPr>
            </w:pPr>
            <w:r w:rsidRPr="00DB576B">
              <w:rPr>
                <w:rFonts w:ascii="Times New Roman" w:hAnsi="Times New Roman" w:cs="Times New Roman"/>
                <w:sz w:val="20"/>
                <w:szCs w:val="20"/>
              </w:rPr>
              <w:t>Apply formal and informal conventions of writing, including organization, content, presentation, formatting, and stylistic choices, in particular forms and/or fields.</w:t>
            </w:r>
          </w:p>
          <w:p w14:paraId="1E0E448F"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Use Sources and Evidence</w:t>
            </w:r>
          </w:p>
          <w:p w14:paraId="2468F13A" w14:textId="77777777" w:rsidR="00AB6284" w:rsidRPr="00DB576B" w:rsidRDefault="00AB6284" w:rsidP="00AB6284">
            <w:pPr>
              <w:pStyle w:val="ListParagraph"/>
              <w:numPr>
                <w:ilvl w:val="0"/>
                <w:numId w:val="27"/>
              </w:numPr>
              <w:ind w:left="770"/>
              <w:rPr>
                <w:rFonts w:ascii="Times New Roman" w:hAnsi="Times New Roman" w:cs="Times New Roman"/>
                <w:sz w:val="20"/>
                <w:szCs w:val="20"/>
              </w:rPr>
            </w:pPr>
            <w:r w:rsidRPr="00DB576B">
              <w:rPr>
                <w:rFonts w:ascii="Times New Roman" w:hAnsi="Times New Roman" w:cs="Times New Roman"/>
                <w:sz w:val="20"/>
                <w:szCs w:val="20"/>
              </w:rPr>
              <w:t xml:space="preserve">Critically read, evaluate, apply, and synthesize evidence and/or sources in support of a claim. </w:t>
            </w:r>
          </w:p>
          <w:p w14:paraId="68FAF84A" w14:textId="77777777" w:rsidR="00AB6284" w:rsidRPr="00DB576B" w:rsidRDefault="00AB6284" w:rsidP="00AB6284">
            <w:pPr>
              <w:pStyle w:val="ListParagraph"/>
              <w:numPr>
                <w:ilvl w:val="0"/>
                <w:numId w:val="27"/>
              </w:numPr>
              <w:ind w:left="770"/>
              <w:rPr>
                <w:rFonts w:ascii="Times New Roman" w:hAnsi="Times New Roman" w:cs="Times New Roman"/>
                <w:sz w:val="20"/>
                <w:szCs w:val="20"/>
              </w:rPr>
            </w:pPr>
            <w:r w:rsidRPr="00DB576B">
              <w:rPr>
                <w:rFonts w:ascii="Times New Roman" w:hAnsi="Times New Roman" w:cs="Times New Roman"/>
                <w:sz w:val="20"/>
                <w:szCs w:val="20"/>
              </w:rPr>
              <w:t xml:space="preserve">Follow an appropriate documentation system. </w:t>
            </w:r>
          </w:p>
          <w:p w14:paraId="7F140DE3"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DB576B">
              <w:rPr>
                <w:rFonts w:ascii="Times New Roman" w:hAnsi="Times New Roman" w:cs="Times New Roman"/>
                <w:b/>
                <w:sz w:val="20"/>
                <w:szCs w:val="20"/>
              </w:rPr>
              <w:t>Control Syntax and Mechanics</w:t>
            </w:r>
            <w:r w:rsidRPr="004618C6">
              <w:rPr>
                <w:rFonts w:ascii="Times New Roman" w:hAnsi="Times New Roman" w:cs="Times New Roman"/>
                <w:sz w:val="20"/>
                <w:szCs w:val="20"/>
              </w:rPr>
              <w:t xml:space="preserve"> </w:t>
            </w:r>
          </w:p>
          <w:p w14:paraId="3F65C9F5" w14:textId="77777777" w:rsidR="00AB6284" w:rsidRPr="00DB576B" w:rsidRDefault="00AB6284" w:rsidP="00AB6284">
            <w:pPr>
              <w:pStyle w:val="ListParagraph"/>
              <w:numPr>
                <w:ilvl w:val="0"/>
                <w:numId w:val="25"/>
              </w:numPr>
              <w:ind w:left="770"/>
              <w:rPr>
                <w:rFonts w:ascii="Times New Roman" w:hAnsi="Times New Roman" w:cs="Times New Roman"/>
                <w:sz w:val="20"/>
                <w:szCs w:val="20"/>
              </w:rPr>
            </w:pPr>
            <w:r w:rsidRPr="00DB576B">
              <w:rPr>
                <w:rFonts w:ascii="Times New Roman" w:hAnsi="Times New Roman" w:cs="Times New Roman"/>
                <w:sz w:val="20"/>
                <w:szCs w:val="20"/>
              </w:rPr>
              <w:t xml:space="preserve">Demonstrate proficiency with conventions, including spellings, grammar, mechanics, and word choice appropriate to the writing task. </w:t>
            </w:r>
          </w:p>
          <w:p w14:paraId="3F0185A9" w14:textId="77777777" w:rsidR="00AB6284" w:rsidRPr="00DB576B" w:rsidRDefault="00AB6284" w:rsidP="00142204">
            <w:pPr>
              <w:pStyle w:val="Normal1"/>
              <w:spacing w:after="0" w:line="240" w:lineRule="auto"/>
              <w:ind w:left="720"/>
              <w:contextualSpacing/>
              <w:rPr>
                <w:rFonts w:eastAsia="MS Mincho"/>
                <w:sz w:val="20"/>
              </w:rPr>
            </w:pPr>
          </w:p>
        </w:tc>
      </w:tr>
    </w:tbl>
    <w:p w14:paraId="72725315" w14:textId="59D82A49" w:rsidR="00AB6284" w:rsidRDefault="00AB6284" w:rsidP="00EA0DEC">
      <w:pPr>
        <w:rPr>
          <w:rFonts w:ascii="Times New Roman" w:hAnsi="Times New Roman" w:cs="Times New Roman"/>
          <w:i/>
          <w:color w:val="C00000"/>
          <w:sz w:val="20"/>
        </w:rPr>
      </w:pPr>
    </w:p>
    <w:sectPr w:rsidR="00AB6284"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60F77B77"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D57FC5">
      <w:rPr>
        <w:rFonts w:ascii="Times New Roman" w:hAnsi="Times New Roman" w:cs="Times New Roman"/>
        <w:i/>
        <w:sz w:val="20"/>
        <w:szCs w:val="20"/>
      </w:rPr>
      <w:t>9/11</w:t>
    </w:r>
    <w:r w:rsidR="003852B4">
      <w:rPr>
        <w:rFonts w:ascii="Times New Roman" w:hAnsi="Times New Roman" w:cs="Times New Roman"/>
        <w:i/>
        <w:sz w:val="20"/>
        <w:szCs w:val="20"/>
      </w:rPr>
      <w:t>/1</w:t>
    </w:r>
    <w:r w:rsidR="003F6C5F">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4D2A91">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344BBD">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AB5"/>
    <w:multiLevelType w:val="hybridMultilevel"/>
    <w:tmpl w:val="E12A8FD2"/>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1F5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13C36572"/>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72DFD"/>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63F2F"/>
    <w:multiLevelType w:val="hybridMultilevel"/>
    <w:tmpl w:val="AF98DA5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15:restartNumberingAfterBreak="0">
    <w:nsid w:val="3D703DDA"/>
    <w:multiLevelType w:val="hybridMultilevel"/>
    <w:tmpl w:val="729AE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6008AD"/>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BA5461D"/>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BA30E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F1E4A"/>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AC86582"/>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74F17"/>
    <w:multiLevelType w:val="hybridMultilevel"/>
    <w:tmpl w:val="53927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64D1F"/>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916226"/>
    <w:multiLevelType w:val="hybridMultilevel"/>
    <w:tmpl w:val="D0A61CBC"/>
    <w:lvl w:ilvl="0" w:tplc="671CFF54">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0"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39CB"/>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7"/>
  </w:num>
  <w:num w:numId="3">
    <w:abstractNumId w:val="30"/>
  </w:num>
  <w:num w:numId="4">
    <w:abstractNumId w:val="9"/>
  </w:num>
  <w:num w:numId="5">
    <w:abstractNumId w:val="1"/>
  </w:num>
  <w:num w:numId="6">
    <w:abstractNumId w:val="7"/>
  </w:num>
  <w:num w:numId="7">
    <w:abstractNumId w:val="28"/>
  </w:num>
  <w:num w:numId="8">
    <w:abstractNumId w:val="22"/>
  </w:num>
  <w:num w:numId="9">
    <w:abstractNumId w:val="29"/>
  </w:num>
  <w:num w:numId="10">
    <w:abstractNumId w:val="16"/>
  </w:num>
  <w:num w:numId="11">
    <w:abstractNumId w:val="11"/>
  </w:num>
  <w:num w:numId="12">
    <w:abstractNumId w:val="14"/>
  </w:num>
  <w:num w:numId="13">
    <w:abstractNumId w:val="4"/>
  </w:num>
  <w:num w:numId="14">
    <w:abstractNumId w:val="10"/>
  </w:num>
  <w:num w:numId="15">
    <w:abstractNumId w:val="17"/>
  </w:num>
  <w:num w:numId="16">
    <w:abstractNumId w:val="2"/>
  </w:num>
  <w:num w:numId="17">
    <w:abstractNumId w:val="18"/>
  </w:num>
  <w:num w:numId="18">
    <w:abstractNumId w:val="31"/>
  </w:num>
  <w:num w:numId="19">
    <w:abstractNumId w:val="0"/>
  </w:num>
  <w:num w:numId="20">
    <w:abstractNumId w:val="24"/>
  </w:num>
  <w:num w:numId="21">
    <w:abstractNumId w:val="3"/>
  </w:num>
  <w:num w:numId="22">
    <w:abstractNumId w:val="19"/>
  </w:num>
  <w:num w:numId="23">
    <w:abstractNumId w:val="23"/>
  </w:num>
  <w:num w:numId="24">
    <w:abstractNumId w:val="26"/>
  </w:num>
  <w:num w:numId="25">
    <w:abstractNumId w:val="21"/>
  </w:num>
  <w:num w:numId="26">
    <w:abstractNumId w:val="6"/>
  </w:num>
  <w:num w:numId="27">
    <w:abstractNumId w:val="5"/>
  </w:num>
  <w:num w:numId="28">
    <w:abstractNumId w:val="20"/>
  </w:num>
  <w:num w:numId="29">
    <w:abstractNumId w:val="15"/>
  </w:num>
  <w:num w:numId="30">
    <w:abstractNumId w:val="25"/>
  </w:num>
  <w:num w:numId="31">
    <w:abstractNumId w:val="13"/>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28B4"/>
    <w:rsid w:val="000E4A50"/>
    <w:rsid w:val="000E6C62"/>
    <w:rsid w:val="000E7031"/>
    <w:rsid w:val="000F397B"/>
    <w:rsid w:val="000F54C3"/>
    <w:rsid w:val="00101B4B"/>
    <w:rsid w:val="001056FC"/>
    <w:rsid w:val="00115145"/>
    <w:rsid w:val="00121263"/>
    <w:rsid w:val="0012248F"/>
    <w:rsid w:val="001408B1"/>
    <w:rsid w:val="0015337D"/>
    <w:rsid w:val="00153A2F"/>
    <w:rsid w:val="00155712"/>
    <w:rsid w:val="0015620B"/>
    <w:rsid w:val="001604E5"/>
    <w:rsid w:val="00171326"/>
    <w:rsid w:val="00171A76"/>
    <w:rsid w:val="00171C51"/>
    <w:rsid w:val="001732AD"/>
    <w:rsid w:val="00187F23"/>
    <w:rsid w:val="00194270"/>
    <w:rsid w:val="001A16A0"/>
    <w:rsid w:val="001C186E"/>
    <w:rsid w:val="001C2FE8"/>
    <w:rsid w:val="001C3B0D"/>
    <w:rsid w:val="001C4CF3"/>
    <w:rsid w:val="001D07BC"/>
    <w:rsid w:val="001E1EE9"/>
    <w:rsid w:val="001E2236"/>
    <w:rsid w:val="001E43E3"/>
    <w:rsid w:val="001F13FF"/>
    <w:rsid w:val="001F2B12"/>
    <w:rsid w:val="001F3F4B"/>
    <w:rsid w:val="001F4719"/>
    <w:rsid w:val="001F5D8F"/>
    <w:rsid w:val="002040BA"/>
    <w:rsid w:val="00205D37"/>
    <w:rsid w:val="00205E73"/>
    <w:rsid w:val="00210C4E"/>
    <w:rsid w:val="002247AA"/>
    <w:rsid w:val="00226D70"/>
    <w:rsid w:val="00227AA8"/>
    <w:rsid w:val="00227D4F"/>
    <w:rsid w:val="0023032E"/>
    <w:rsid w:val="00234DF4"/>
    <w:rsid w:val="00243FE2"/>
    <w:rsid w:val="00270B93"/>
    <w:rsid w:val="0027378B"/>
    <w:rsid w:val="00277679"/>
    <w:rsid w:val="00284D2F"/>
    <w:rsid w:val="002938A6"/>
    <w:rsid w:val="002943AB"/>
    <w:rsid w:val="00294BA7"/>
    <w:rsid w:val="00296999"/>
    <w:rsid w:val="002A0152"/>
    <w:rsid w:val="002A20E3"/>
    <w:rsid w:val="002A443F"/>
    <w:rsid w:val="002A5C0A"/>
    <w:rsid w:val="002A7857"/>
    <w:rsid w:val="002B4256"/>
    <w:rsid w:val="002B7B57"/>
    <w:rsid w:val="002D1647"/>
    <w:rsid w:val="002F7090"/>
    <w:rsid w:val="00301398"/>
    <w:rsid w:val="00304D43"/>
    <w:rsid w:val="00310514"/>
    <w:rsid w:val="003136FA"/>
    <w:rsid w:val="00316256"/>
    <w:rsid w:val="00317219"/>
    <w:rsid w:val="00324706"/>
    <w:rsid w:val="00325C6A"/>
    <w:rsid w:val="003329A1"/>
    <w:rsid w:val="00334658"/>
    <w:rsid w:val="00343019"/>
    <w:rsid w:val="00344BBD"/>
    <w:rsid w:val="00361125"/>
    <w:rsid w:val="00361F90"/>
    <w:rsid w:val="00373137"/>
    <w:rsid w:val="003852B4"/>
    <w:rsid w:val="003977F1"/>
    <w:rsid w:val="003A5706"/>
    <w:rsid w:val="003C1385"/>
    <w:rsid w:val="003C38DD"/>
    <w:rsid w:val="003C6F41"/>
    <w:rsid w:val="003F2F54"/>
    <w:rsid w:val="003F6C5F"/>
    <w:rsid w:val="004005D0"/>
    <w:rsid w:val="00401866"/>
    <w:rsid w:val="004071DA"/>
    <w:rsid w:val="00414E07"/>
    <w:rsid w:val="0042231E"/>
    <w:rsid w:val="004238EA"/>
    <w:rsid w:val="004376E2"/>
    <w:rsid w:val="00445875"/>
    <w:rsid w:val="004467AD"/>
    <w:rsid w:val="00450B2C"/>
    <w:rsid w:val="00452C19"/>
    <w:rsid w:val="00453928"/>
    <w:rsid w:val="00454244"/>
    <w:rsid w:val="004562A0"/>
    <w:rsid w:val="00461950"/>
    <w:rsid w:val="00475275"/>
    <w:rsid w:val="004868E9"/>
    <w:rsid w:val="00496C12"/>
    <w:rsid w:val="004A197F"/>
    <w:rsid w:val="004A353A"/>
    <w:rsid w:val="004A59AA"/>
    <w:rsid w:val="004C6EB6"/>
    <w:rsid w:val="004D2A91"/>
    <w:rsid w:val="004F1C26"/>
    <w:rsid w:val="004F6455"/>
    <w:rsid w:val="004F6515"/>
    <w:rsid w:val="00507F3E"/>
    <w:rsid w:val="005324BD"/>
    <w:rsid w:val="005337F9"/>
    <w:rsid w:val="00544D74"/>
    <w:rsid w:val="005458B3"/>
    <w:rsid w:val="0054671B"/>
    <w:rsid w:val="0055300F"/>
    <w:rsid w:val="00556EE8"/>
    <w:rsid w:val="0056071B"/>
    <w:rsid w:val="00567303"/>
    <w:rsid w:val="00582342"/>
    <w:rsid w:val="00583899"/>
    <w:rsid w:val="005A34BA"/>
    <w:rsid w:val="005A4E8E"/>
    <w:rsid w:val="005A7E95"/>
    <w:rsid w:val="005B4120"/>
    <w:rsid w:val="005B7238"/>
    <w:rsid w:val="005C1724"/>
    <w:rsid w:val="005C1C1F"/>
    <w:rsid w:val="005C4210"/>
    <w:rsid w:val="005C4D1A"/>
    <w:rsid w:val="005C7534"/>
    <w:rsid w:val="005E243D"/>
    <w:rsid w:val="005E556E"/>
    <w:rsid w:val="005F27DD"/>
    <w:rsid w:val="0060531B"/>
    <w:rsid w:val="00606BCA"/>
    <w:rsid w:val="006070C3"/>
    <w:rsid w:val="006206AA"/>
    <w:rsid w:val="00624CFE"/>
    <w:rsid w:val="00625857"/>
    <w:rsid w:val="00627E64"/>
    <w:rsid w:val="00634E6E"/>
    <w:rsid w:val="00637EC9"/>
    <w:rsid w:val="00643BDD"/>
    <w:rsid w:val="006464F0"/>
    <w:rsid w:val="00646C1C"/>
    <w:rsid w:val="006529F3"/>
    <w:rsid w:val="00654DD0"/>
    <w:rsid w:val="00660227"/>
    <w:rsid w:val="00660A13"/>
    <w:rsid w:val="006610C2"/>
    <w:rsid w:val="00674990"/>
    <w:rsid w:val="006837BE"/>
    <w:rsid w:val="0068755D"/>
    <w:rsid w:val="00692C57"/>
    <w:rsid w:val="00696910"/>
    <w:rsid w:val="006969E8"/>
    <w:rsid w:val="006A29A6"/>
    <w:rsid w:val="006A5BCA"/>
    <w:rsid w:val="006C1D62"/>
    <w:rsid w:val="006C2765"/>
    <w:rsid w:val="006C6941"/>
    <w:rsid w:val="006D16BD"/>
    <w:rsid w:val="006D1E50"/>
    <w:rsid w:val="006E27E2"/>
    <w:rsid w:val="006F4444"/>
    <w:rsid w:val="006F5C30"/>
    <w:rsid w:val="0070745C"/>
    <w:rsid w:val="0071020D"/>
    <w:rsid w:val="0071289A"/>
    <w:rsid w:val="00714058"/>
    <w:rsid w:val="00717C03"/>
    <w:rsid w:val="007268BA"/>
    <w:rsid w:val="00753EFC"/>
    <w:rsid w:val="00755F1D"/>
    <w:rsid w:val="00761FB8"/>
    <w:rsid w:val="00763B3D"/>
    <w:rsid w:val="007647DD"/>
    <w:rsid w:val="0076789F"/>
    <w:rsid w:val="007766F1"/>
    <w:rsid w:val="00777DE0"/>
    <w:rsid w:val="00782F0F"/>
    <w:rsid w:val="007830B8"/>
    <w:rsid w:val="00784101"/>
    <w:rsid w:val="00791844"/>
    <w:rsid w:val="00794A51"/>
    <w:rsid w:val="007B6BA5"/>
    <w:rsid w:val="007C7B35"/>
    <w:rsid w:val="007D3A37"/>
    <w:rsid w:val="007D5766"/>
    <w:rsid w:val="007E14F7"/>
    <w:rsid w:val="008029E3"/>
    <w:rsid w:val="008127B4"/>
    <w:rsid w:val="008132F3"/>
    <w:rsid w:val="00814421"/>
    <w:rsid w:val="0082081A"/>
    <w:rsid w:val="00824030"/>
    <w:rsid w:val="00834B96"/>
    <w:rsid w:val="00840FF3"/>
    <w:rsid w:val="00844536"/>
    <w:rsid w:val="00844E9E"/>
    <w:rsid w:val="0085031A"/>
    <w:rsid w:val="00866E72"/>
    <w:rsid w:val="00871D63"/>
    <w:rsid w:val="00875B01"/>
    <w:rsid w:val="008813AD"/>
    <w:rsid w:val="00890C5B"/>
    <w:rsid w:val="00895B31"/>
    <w:rsid w:val="00896A13"/>
    <w:rsid w:val="008A0242"/>
    <w:rsid w:val="008B5F72"/>
    <w:rsid w:val="008C5526"/>
    <w:rsid w:val="008C79FF"/>
    <w:rsid w:val="008C7CE5"/>
    <w:rsid w:val="008D012D"/>
    <w:rsid w:val="008D5A21"/>
    <w:rsid w:val="008E575B"/>
    <w:rsid w:val="008E7AC3"/>
    <w:rsid w:val="008E7BA6"/>
    <w:rsid w:val="008F1E3D"/>
    <w:rsid w:val="008F32A4"/>
    <w:rsid w:val="008F719D"/>
    <w:rsid w:val="00901D23"/>
    <w:rsid w:val="00902EB0"/>
    <w:rsid w:val="00912F07"/>
    <w:rsid w:val="00931C64"/>
    <w:rsid w:val="009376C8"/>
    <w:rsid w:val="00951A29"/>
    <w:rsid w:val="00956310"/>
    <w:rsid w:val="00960EA8"/>
    <w:rsid w:val="00962F88"/>
    <w:rsid w:val="00967748"/>
    <w:rsid w:val="00971346"/>
    <w:rsid w:val="00985E3E"/>
    <w:rsid w:val="0098652A"/>
    <w:rsid w:val="009877FF"/>
    <w:rsid w:val="009A4E82"/>
    <w:rsid w:val="009B2C0F"/>
    <w:rsid w:val="009E1511"/>
    <w:rsid w:val="009F0550"/>
    <w:rsid w:val="00A016A2"/>
    <w:rsid w:val="00A01AAD"/>
    <w:rsid w:val="00A05CCE"/>
    <w:rsid w:val="00A36CA8"/>
    <w:rsid w:val="00A41EF8"/>
    <w:rsid w:val="00A43C4D"/>
    <w:rsid w:val="00A52B0B"/>
    <w:rsid w:val="00A56667"/>
    <w:rsid w:val="00A639D2"/>
    <w:rsid w:val="00A70E49"/>
    <w:rsid w:val="00A7225F"/>
    <w:rsid w:val="00A7423B"/>
    <w:rsid w:val="00A75CA5"/>
    <w:rsid w:val="00A80E1E"/>
    <w:rsid w:val="00A95666"/>
    <w:rsid w:val="00AA2AFD"/>
    <w:rsid w:val="00AB23E3"/>
    <w:rsid w:val="00AB4AD1"/>
    <w:rsid w:val="00AB6284"/>
    <w:rsid w:val="00AC6A73"/>
    <w:rsid w:val="00AD75D9"/>
    <w:rsid w:val="00AD7690"/>
    <w:rsid w:val="00AE0D2B"/>
    <w:rsid w:val="00B13150"/>
    <w:rsid w:val="00B260E6"/>
    <w:rsid w:val="00B3111F"/>
    <w:rsid w:val="00B36F04"/>
    <w:rsid w:val="00B377F5"/>
    <w:rsid w:val="00B444ED"/>
    <w:rsid w:val="00B54F81"/>
    <w:rsid w:val="00B56691"/>
    <w:rsid w:val="00B8703B"/>
    <w:rsid w:val="00B91FCB"/>
    <w:rsid w:val="00B96024"/>
    <w:rsid w:val="00B96872"/>
    <w:rsid w:val="00BA32DE"/>
    <w:rsid w:val="00BB239F"/>
    <w:rsid w:val="00BE2114"/>
    <w:rsid w:val="00BE3F58"/>
    <w:rsid w:val="00BE68C4"/>
    <w:rsid w:val="00BF385D"/>
    <w:rsid w:val="00BF442F"/>
    <w:rsid w:val="00BF6971"/>
    <w:rsid w:val="00C0673D"/>
    <w:rsid w:val="00C15184"/>
    <w:rsid w:val="00C21A4B"/>
    <w:rsid w:val="00C25F5D"/>
    <w:rsid w:val="00C516A3"/>
    <w:rsid w:val="00C77511"/>
    <w:rsid w:val="00C83DD4"/>
    <w:rsid w:val="00C909FD"/>
    <w:rsid w:val="00CA03E8"/>
    <w:rsid w:val="00CA128A"/>
    <w:rsid w:val="00CA384C"/>
    <w:rsid w:val="00CA5153"/>
    <w:rsid w:val="00CB2D51"/>
    <w:rsid w:val="00CC349E"/>
    <w:rsid w:val="00CC38A8"/>
    <w:rsid w:val="00CC6AA6"/>
    <w:rsid w:val="00CD03E3"/>
    <w:rsid w:val="00CD5A16"/>
    <w:rsid w:val="00CD63F9"/>
    <w:rsid w:val="00CD6667"/>
    <w:rsid w:val="00CE6915"/>
    <w:rsid w:val="00D04D01"/>
    <w:rsid w:val="00D066C0"/>
    <w:rsid w:val="00D104A3"/>
    <w:rsid w:val="00D12DF1"/>
    <w:rsid w:val="00D148A0"/>
    <w:rsid w:val="00D4362D"/>
    <w:rsid w:val="00D43EDC"/>
    <w:rsid w:val="00D52584"/>
    <w:rsid w:val="00D5378F"/>
    <w:rsid w:val="00D54E32"/>
    <w:rsid w:val="00D56EBD"/>
    <w:rsid w:val="00D57FC5"/>
    <w:rsid w:val="00D6275C"/>
    <w:rsid w:val="00D64C1F"/>
    <w:rsid w:val="00D6756F"/>
    <w:rsid w:val="00D82CE3"/>
    <w:rsid w:val="00D867B4"/>
    <w:rsid w:val="00D86C60"/>
    <w:rsid w:val="00DA63DB"/>
    <w:rsid w:val="00DB1738"/>
    <w:rsid w:val="00DB2D94"/>
    <w:rsid w:val="00DB549D"/>
    <w:rsid w:val="00DC2184"/>
    <w:rsid w:val="00DC347D"/>
    <w:rsid w:val="00DC3AC3"/>
    <w:rsid w:val="00DC427E"/>
    <w:rsid w:val="00DC76C6"/>
    <w:rsid w:val="00DD28DE"/>
    <w:rsid w:val="00DD5164"/>
    <w:rsid w:val="00DD77A5"/>
    <w:rsid w:val="00DE0F1C"/>
    <w:rsid w:val="00DE33E0"/>
    <w:rsid w:val="00DF6263"/>
    <w:rsid w:val="00E00932"/>
    <w:rsid w:val="00E03FE2"/>
    <w:rsid w:val="00E05128"/>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951E1"/>
    <w:rsid w:val="00EA0DEC"/>
    <w:rsid w:val="00EA226F"/>
    <w:rsid w:val="00EB08AB"/>
    <w:rsid w:val="00EB28E2"/>
    <w:rsid w:val="00EB5D14"/>
    <w:rsid w:val="00EC32D6"/>
    <w:rsid w:val="00EC35AC"/>
    <w:rsid w:val="00EC5513"/>
    <w:rsid w:val="00EC6C92"/>
    <w:rsid w:val="00EC75AE"/>
    <w:rsid w:val="00ED033C"/>
    <w:rsid w:val="00ED3A7B"/>
    <w:rsid w:val="00EE038F"/>
    <w:rsid w:val="00EE324A"/>
    <w:rsid w:val="00EF7B7B"/>
    <w:rsid w:val="00F00A20"/>
    <w:rsid w:val="00F044D2"/>
    <w:rsid w:val="00F113EC"/>
    <w:rsid w:val="00F21A48"/>
    <w:rsid w:val="00F3757E"/>
    <w:rsid w:val="00F41B1D"/>
    <w:rsid w:val="00F43235"/>
    <w:rsid w:val="00F53E43"/>
    <w:rsid w:val="00F63D88"/>
    <w:rsid w:val="00F714F2"/>
    <w:rsid w:val="00F72806"/>
    <w:rsid w:val="00F73016"/>
    <w:rsid w:val="00F7403C"/>
    <w:rsid w:val="00F7466E"/>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218F"/>
    <w:rsid w:val="00FF5D0F"/>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20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19/01/AUCC-GTP-Category-Alignment.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highered.colorado.gov/sites/highered/files/2020-03/submittal_form_gtp_curriculum_final_writ_comm_gt_co2.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mailto:curriculum@colostate.edu" TargetMode="External"/><Relationship Id="rId22"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ACEE-17AD-40EF-943C-A46BDAF7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30</cp:revision>
  <cp:lastPrinted>2018-08-16T00:04:00Z</cp:lastPrinted>
  <dcterms:created xsi:type="dcterms:W3CDTF">2019-02-19T16:28:00Z</dcterms:created>
  <dcterms:modified xsi:type="dcterms:W3CDTF">2020-04-27T15:42:00Z</dcterms:modified>
</cp:coreProperties>
</file>